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23" w:rsidRPr="00F07980" w:rsidRDefault="00255119" w:rsidP="000C3D23">
      <w:pPr>
        <w:shd w:val="clear" w:color="auto" w:fill="FFFFFF"/>
        <w:spacing w:after="150" w:line="240" w:lineRule="auto"/>
        <w:jc w:val="both"/>
        <w:rPr>
          <w:rFonts w:ascii="gobCL" w:eastAsiaTheme="minorEastAsia" w:hAnsi="gobCL"/>
          <w:spacing w:val="6"/>
          <w:sz w:val="32"/>
          <w:szCs w:val="32"/>
          <w:lang w:eastAsia="ja-JP"/>
        </w:rPr>
      </w:pPr>
      <w:r>
        <w:rPr>
          <w:noProof/>
          <w:lang w:eastAsia="es-CL"/>
        </w:rPr>
        <w:drawing>
          <wp:inline distT="0" distB="0" distL="0" distR="0">
            <wp:extent cx="1466850" cy="6413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P_Al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19" cy="641686"/>
                    </a:xfrm>
                    <a:prstGeom prst="rect">
                      <a:avLst/>
                    </a:prstGeom>
                  </pic:spPr>
                </pic:pic>
              </a:graphicData>
            </a:graphic>
          </wp:inline>
        </w:drawing>
      </w:r>
    </w:p>
    <w:p w:rsidR="00255119" w:rsidRPr="00FF1DCA" w:rsidRDefault="00255119" w:rsidP="00255119">
      <w:pPr>
        <w:shd w:val="clear" w:color="auto" w:fill="FFFFFF"/>
        <w:spacing w:after="150" w:line="240" w:lineRule="auto"/>
        <w:rPr>
          <w:rFonts w:ascii="gobCL" w:eastAsiaTheme="minorEastAsia" w:hAnsi="gobCL"/>
          <w:b/>
          <w:i/>
          <w:spacing w:val="6"/>
          <w:sz w:val="20"/>
          <w:szCs w:val="20"/>
          <w:lang w:eastAsia="ja-JP"/>
        </w:rPr>
      </w:pPr>
    </w:p>
    <w:p w:rsidR="00255119" w:rsidRPr="00FF1DCA" w:rsidRDefault="00255119" w:rsidP="00AA0D66">
      <w:pPr>
        <w:shd w:val="clear" w:color="auto" w:fill="FFFFFF"/>
        <w:spacing w:after="150" w:line="240" w:lineRule="auto"/>
        <w:rPr>
          <w:rFonts w:ascii="gobCL" w:eastAsiaTheme="minorEastAsia" w:hAnsi="gobCL"/>
          <w:b/>
          <w:i/>
          <w:spacing w:val="6"/>
          <w:lang w:eastAsia="ja-JP"/>
        </w:rPr>
      </w:pPr>
      <w:r w:rsidRPr="00FF1DCA">
        <w:rPr>
          <w:rFonts w:ascii="gobCL" w:eastAsiaTheme="minorEastAsia" w:hAnsi="gobCL"/>
          <w:b/>
          <w:i/>
          <w:spacing w:val="6"/>
          <w:lang w:eastAsia="ja-JP"/>
        </w:rPr>
        <w:t xml:space="preserve">Para tener un máximo de beneficio y evitar impacto limitado: </w:t>
      </w:r>
    </w:p>
    <w:p w:rsidR="00AA0D66" w:rsidRPr="003B4E19" w:rsidRDefault="000B7729" w:rsidP="003B4E19">
      <w:pPr>
        <w:shd w:val="clear" w:color="auto" w:fill="FFFFFF"/>
        <w:spacing w:after="150" w:line="240" w:lineRule="auto"/>
        <w:ind w:left="360"/>
        <w:jc w:val="center"/>
        <w:rPr>
          <w:rFonts w:ascii="gobCL" w:eastAsiaTheme="minorEastAsia" w:hAnsi="gobCL"/>
          <w:b/>
          <w:spacing w:val="6"/>
          <w:sz w:val="32"/>
          <w:szCs w:val="32"/>
          <w:lang w:eastAsia="ja-JP"/>
        </w:rPr>
      </w:pPr>
      <w:r w:rsidRPr="000B7729">
        <w:rPr>
          <w:rFonts w:ascii="gobCL" w:eastAsiaTheme="minorEastAsia" w:hAnsi="gobCL"/>
          <w:b/>
          <w:spacing w:val="6"/>
          <w:sz w:val="32"/>
          <w:szCs w:val="32"/>
          <w:lang w:eastAsia="ja-JP"/>
        </w:rPr>
        <w:t xml:space="preserve">“Recomendaciones para mejorar productividad de la gran minería del cobre deben </w:t>
      </w:r>
      <w:r>
        <w:rPr>
          <w:rFonts w:ascii="gobCL" w:eastAsiaTheme="minorEastAsia" w:hAnsi="gobCL"/>
          <w:b/>
          <w:spacing w:val="6"/>
          <w:sz w:val="32"/>
          <w:szCs w:val="32"/>
          <w:lang w:eastAsia="ja-JP"/>
        </w:rPr>
        <w:t>implementarse en su conjunto”</w:t>
      </w:r>
    </w:p>
    <w:p w:rsidR="00255119" w:rsidRDefault="000B7729" w:rsidP="003B4E19">
      <w:pPr>
        <w:pStyle w:val="Prrafodelista"/>
        <w:numPr>
          <w:ilvl w:val="0"/>
          <w:numId w:val="7"/>
        </w:numPr>
        <w:shd w:val="clear" w:color="auto" w:fill="FFFFFF"/>
        <w:spacing w:after="150" w:line="240" w:lineRule="atLeast"/>
        <w:jc w:val="both"/>
        <w:rPr>
          <w:rFonts w:ascii="gobCL" w:eastAsiaTheme="minorEastAsia" w:hAnsi="gobCL"/>
          <w:b/>
          <w:spacing w:val="6"/>
          <w:lang w:eastAsia="ja-JP"/>
        </w:rPr>
      </w:pPr>
      <w:r w:rsidRPr="003B4E19">
        <w:rPr>
          <w:rFonts w:ascii="gobCL" w:eastAsiaTheme="minorEastAsia" w:hAnsi="gobCL"/>
          <w:spacing w:val="6"/>
          <w:lang w:eastAsia="ja-JP"/>
        </w:rPr>
        <w:t>Así lo precisó el presidente de la</w:t>
      </w:r>
      <w:r w:rsidRPr="003B4E19">
        <w:rPr>
          <w:rFonts w:ascii="gobCL" w:eastAsiaTheme="minorEastAsia" w:hAnsi="gobCL"/>
          <w:b/>
          <w:spacing w:val="6"/>
          <w:lang w:eastAsia="ja-JP"/>
        </w:rPr>
        <w:t xml:space="preserve"> </w:t>
      </w:r>
      <w:r w:rsidRPr="003B4E19">
        <w:rPr>
          <w:rFonts w:ascii="gobCL" w:eastAsiaTheme="minorEastAsia" w:hAnsi="gobCL"/>
          <w:spacing w:val="6"/>
          <w:lang w:eastAsia="ja-JP"/>
        </w:rPr>
        <w:t>Comisión Nacional de Productividad (CNP), Joseph Ramos</w:t>
      </w:r>
      <w:r w:rsidRPr="003B4E19">
        <w:rPr>
          <w:rFonts w:ascii="gobCL" w:eastAsiaTheme="minorEastAsia" w:hAnsi="gobCL"/>
          <w:spacing w:val="6"/>
          <w:lang w:eastAsia="ja-JP"/>
        </w:rPr>
        <w:t xml:space="preserve">, al dar a conocer el Informe de Productividad de la Gran Minería del Cobre. El </w:t>
      </w:r>
      <w:r w:rsidR="00935ADA" w:rsidRPr="003B4E19">
        <w:rPr>
          <w:rFonts w:ascii="gobCL" w:eastAsiaTheme="minorEastAsia" w:hAnsi="gobCL"/>
          <w:spacing w:val="6"/>
          <w:lang w:eastAsia="ja-JP"/>
        </w:rPr>
        <w:t xml:space="preserve">estudio </w:t>
      </w:r>
      <w:r w:rsidR="002D71D3" w:rsidRPr="003B4E19">
        <w:rPr>
          <w:rFonts w:ascii="gobCL" w:eastAsiaTheme="minorEastAsia" w:hAnsi="gobCL"/>
          <w:b/>
          <w:spacing w:val="6"/>
          <w:lang w:eastAsia="ja-JP"/>
        </w:rPr>
        <w:t>contempla 53 recomendaciones, sustentadas en la existencia de una estrategia que involucra al mundo privado, público y sectorial y de un diseño para su implementación.</w:t>
      </w:r>
    </w:p>
    <w:p w:rsidR="003B4E19" w:rsidRPr="003B4E19" w:rsidRDefault="003B4E19" w:rsidP="003B4E19">
      <w:pPr>
        <w:pStyle w:val="Prrafodelista"/>
        <w:shd w:val="clear" w:color="auto" w:fill="FFFFFF"/>
        <w:spacing w:after="150" w:line="240" w:lineRule="atLeast"/>
        <w:jc w:val="both"/>
        <w:rPr>
          <w:rFonts w:ascii="gobCL" w:eastAsiaTheme="minorEastAsia" w:hAnsi="gobCL"/>
          <w:b/>
          <w:spacing w:val="6"/>
          <w:lang w:eastAsia="ja-JP"/>
        </w:rPr>
      </w:pPr>
    </w:p>
    <w:p w:rsidR="00BB3C0D" w:rsidRPr="003B4E19" w:rsidRDefault="00BB3C0D" w:rsidP="003B4E19">
      <w:pPr>
        <w:pStyle w:val="Prrafodelista"/>
        <w:numPr>
          <w:ilvl w:val="0"/>
          <w:numId w:val="7"/>
        </w:numPr>
        <w:shd w:val="clear" w:color="auto" w:fill="FFFFFF"/>
        <w:spacing w:after="150" w:line="240" w:lineRule="atLeast"/>
        <w:jc w:val="both"/>
        <w:rPr>
          <w:rFonts w:ascii="gobCL" w:eastAsiaTheme="minorEastAsia" w:hAnsi="gobCL"/>
          <w:b/>
          <w:spacing w:val="6"/>
          <w:lang w:eastAsia="ja-JP"/>
        </w:rPr>
      </w:pPr>
      <w:r w:rsidRPr="003B4E19">
        <w:rPr>
          <w:rFonts w:ascii="gobCL" w:eastAsiaTheme="minorEastAsia" w:hAnsi="gobCL"/>
          <w:b/>
          <w:spacing w:val="6"/>
          <w:lang w:eastAsia="ja-JP"/>
        </w:rPr>
        <w:t xml:space="preserve">Trabajo </w:t>
      </w:r>
      <w:r w:rsidR="00E24DE3" w:rsidRPr="003B4E19">
        <w:rPr>
          <w:rFonts w:ascii="gobCL" w:eastAsiaTheme="minorEastAsia" w:hAnsi="gobCL"/>
          <w:b/>
          <w:spacing w:val="6"/>
          <w:lang w:eastAsia="ja-JP"/>
        </w:rPr>
        <w:t xml:space="preserve">que </w:t>
      </w:r>
      <w:r w:rsidRPr="003B4E19">
        <w:rPr>
          <w:rFonts w:ascii="gobCL" w:eastAsiaTheme="minorEastAsia" w:hAnsi="gobCL"/>
          <w:b/>
          <w:spacing w:val="6"/>
          <w:lang w:eastAsia="ja-JP"/>
        </w:rPr>
        <w:t>fue aprobado unánimemente por el Consejo de la CNP</w:t>
      </w:r>
      <w:r w:rsidR="002D71D3" w:rsidRPr="003B4E19">
        <w:rPr>
          <w:rFonts w:ascii="gobCL" w:eastAsiaTheme="minorEastAsia" w:hAnsi="gobCL"/>
          <w:b/>
          <w:spacing w:val="6"/>
          <w:lang w:eastAsia="ja-JP"/>
        </w:rPr>
        <w:t xml:space="preserve">, es único </w:t>
      </w:r>
      <w:r w:rsidR="00FF1DCA" w:rsidRPr="003B4E19">
        <w:rPr>
          <w:rFonts w:ascii="gobCL" w:eastAsiaTheme="minorEastAsia" w:hAnsi="gobCL"/>
          <w:b/>
          <w:spacing w:val="6"/>
          <w:lang w:eastAsia="ja-JP"/>
        </w:rPr>
        <w:t>en su tipo en el mundo.</w:t>
      </w:r>
    </w:p>
    <w:p w:rsidR="00BE79F0" w:rsidRPr="00FF1DCA" w:rsidRDefault="000C3D23" w:rsidP="000C3D23">
      <w:pPr>
        <w:shd w:val="clear" w:color="auto" w:fill="FFFFFF"/>
        <w:spacing w:after="150" w:line="240" w:lineRule="auto"/>
        <w:jc w:val="both"/>
        <w:rPr>
          <w:rFonts w:ascii="Helvetica" w:hAnsi="Helvetica" w:cs="Helvetica"/>
          <w:color w:val="333333"/>
          <w:shd w:val="clear" w:color="auto" w:fill="FFFFFF"/>
        </w:rPr>
      </w:pPr>
      <w:bookmarkStart w:id="0" w:name="_GoBack"/>
      <w:bookmarkEnd w:id="0"/>
      <w:r w:rsidRPr="00FF1DCA">
        <w:rPr>
          <w:rFonts w:ascii="gobCL" w:eastAsiaTheme="minorEastAsia" w:hAnsi="gobCL"/>
          <w:spacing w:val="6"/>
          <w:lang w:eastAsia="ja-JP"/>
        </w:rPr>
        <w:t xml:space="preserve">Esta  mañana, el presidente de la Comisión Nacional de Productividad (CNP), Joseph Ramos, junto </w:t>
      </w:r>
      <w:r w:rsidR="00846142" w:rsidRPr="00FF1DCA">
        <w:rPr>
          <w:rFonts w:ascii="gobCL" w:eastAsiaTheme="minorEastAsia" w:hAnsi="gobCL"/>
          <w:spacing w:val="6"/>
          <w:lang w:eastAsia="ja-JP"/>
        </w:rPr>
        <w:t xml:space="preserve"> al </w:t>
      </w:r>
      <w:r w:rsidRPr="00FF1DCA">
        <w:rPr>
          <w:rFonts w:ascii="gobCL" w:eastAsiaTheme="minorEastAsia" w:hAnsi="gobCL"/>
          <w:spacing w:val="6"/>
          <w:lang w:eastAsia="ja-JP"/>
        </w:rPr>
        <w:t>Secretario Ejecutivo de la entidad, Alfie Ulloa, d</w:t>
      </w:r>
      <w:r w:rsidR="00BE79F0" w:rsidRPr="00FF1DCA">
        <w:rPr>
          <w:rFonts w:ascii="gobCL" w:eastAsiaTheme="minorEastAsia" w:hAnsi="gobCL"/>
          <w:spacing w:val="6"/>
          <w:lang w:eastAsia="ja-JP"/>
        </w:rPr>
        <w:t xml:space="preserve">ieron </w:t>
      </w:r>
      <w:r w:rsidRPr="00FF1DCA">
        <w:rPr>
          <w:rFonts w:ascii="gobCL" w:eastAsiaTheme="minorEastAsia" w:hAnsi="gobCL"/>
          <w:spacing w:val="6"/>
          <w:lang w:eastAsia="ja-JP"/>
        </w:rPr>
        <w:t xml:space="preserve">a conocer el contenido de las </w:t>
      </w:r>
      <w:r w:rsidR="00846142" w:rsidRPr="00FF1DCA">
        <w:rPr>
          <w:rFonts w:ascii="gobCL" w:eastAsiaTheme="minorEastAsia" w:hAnsi="gobCL"/>
          <w:b/>
          <w:spacing w:val="6"/>
          <w:lang w:eastAsia="ja-JP"/>
        </w:rPr>
        <w:t>53</w:t>
      </w:r>
      <w:r w:rsidR="00E12E74">
        <w:rPr>
          <w:rFonts w:ascii="gobCL" w:eastAsiaTheme="minorEastAsia" w:hAnsi="gobCL"/>
          <w:b/>
          <w:spacing w:val="6"/>
          <w:lang w:eastAsia="ja-JP"/>
        </w:rPr>
        <w:t xml:space="preserve"> </w:t>
      </w:r>
      <w:r w:rsidRPr="00FF1DCA">
        <w:rPr>
          <w:rFonts w:ascii="gobCL" w:eastAsiaTheme="minorEastAsia" w:hAnsi="gobCL"/>
          <w:b/>
          <w:spacing w:val="6"/>
          <w:lang w:eastAsia="ja-JP"/>
        </w:rPr>
        <w:t>recomendaciones</w:t>
      </w:r>
      <w:r w:rsidR="00E12E74">
        <w:rPr>
          <w:rFonts w:ascii="gobCL" w:eastAsiaTheme="minorEastAsia" w:hAnsi="gobCL"/>
          <w:b/>
          <w:spacing w:val="6"/>
          <w:lang w:eastAsia="ja-JP"/>
        </w:rPr>
        <w:t xml:space="preserve"> </w:t>
      </w:r>
      <w:r w:rsidRPr="00FF1DCA">
        <w:rPr>
          <w:rFonts w:ascii="gobCL" w:eastAsiaTheme="minorEastAsia" w:hAnsi="gobCL"/>
          <w:spacing w:val="6"/>
          <w:lang w:eastAsia="ja-JP"/>
        </w:rPr>
        <w:t xml:space="preserve">que forman parte medular </w:t>
      </w:r>
      <w:r w:rsidR="00BE79F0" w:rsidRPr="00FF1DCA">
        <w:rPr>
          <w:rFonts w:ascii="gobCL" w:eastAsiaTheme="minorEastAsia" w:hAnsi="gobCL"/>
          <w:spacing w:val="6"/>
          <w:lang w:eastAsia="ja-JP"/>
        </w:rPr>
        <w:t>del</w:t>
      </w:r>
      <w:r w:rsidR="00E12E74">
        <w:rPr>
          <w:rFonts w:ascii="gobCL" w:eastAsiaTheme="minorEastAsia" w:hAnsi="gobCL"/>
          <w:spacing w:val="6"/>
          <w:lang w:eastAsia="ja-JP"/>
        </w:rPr>
        <w:t xml:space="preserve"> </w:t>
      </w:r>
      <w:r w:rsidRPr="00FF1DCA">
        <w:rPr>
          <w:rFonts w:ascii="gobCL" w:eastAsiaTheme="minorEastAsia" w:hAnsi="gobCL"/>
          <w:spacing w:val="6"/>
          <w:lang w:eastAsia="ja-JP"/>
        </w:rPr>
        <w:t xml:space="preserve">informe final del estudio </w:t>
      </w:r>
      <w:r w:rsidRPr="00FF1DCA">
        <w:rPr>
          <w:rFonts w:ascii="gobCL" w:eastAsiaTheme="minorEastAsia" w:hAnsi="gobCL"/>
          <w:b/>
          <w:spacing w:val="6"/>
          <w:lang w:eastAsia="ja-JP"/>
        </w:rPr>
        <w:t>“Productividad de la Gran Minería del Cobre en Chile”</w:t>
      </w:r>
      <w:r w:rsidRPr="00FF1DCA">
        <w:rPr>
          <w:rFonts w:ascii="gobCL" w:eastAsiaTheme="minorEastAsia" w:hAnsi="gobCL"/>
          <w:spacing w:val="6"/>
          <w:lang w:eastAsia="ja-JP"/>
        </w:rPr>
        <w:t xml:space="preserve">, </w:t>
      </w:r>
      <w:r w:rsidR="00BE79F0" w:rsidRPr="00FF1DCA">
        <w:rPr>
          <w:rFonts w:ascii="gobCL" w:eastAsiaTheme="minorEastAsia" w:hAnsi="gobCL"/>
          <w:spacing w:val="6"/>
          <w:lang w:eastAsia="ja-JP"/>
        </w:rPr>
        <w:t xml:space="preserve">primera </w:t>
      </w:r>
      <w:r w:rsidRPr="00FF1DCA">
        <w:rPr>
          <w:rFonts w:ascii="gobCL" w:eastAsiaTheme="minorEastAsia" w:hAnsi="gobCL"/>
          <w:spacing w:val="6"/>
          <w:lang w:eastAsia="ja-JP"/>
        </w:rPr>
        <w:t>investigación</w:t>
      </w:r>
      <w:r w:rsidR="004A227E" w:rsidRPr="00FF1DCA">
        <w:rPr>
          <w:rFonts w:ascii="gobCL" w:eastAsiaTheme="minorEastAsia" w:hAnsi="gobCL"/>
          <w:spacing w:val="6"/>
          <w:lang w:eastAsia="ja-JP"/>
        </w:rPr>
        <w:t xml:space="preserve"> mandatada por el G</w:t>
      </w:r>
      <w:r w:rsidR="00BE79F0" w:rsidRPr="00FF1DCA">
        <w:rPr>
          <w:rFonts w:ascii="gobCL" w:eastAsiaTheme="minorEastAsia" w:hAnsi="gobCL"/>
          <w:spacing w:val="6"/>
          <w:lang w:eastAsia="ja-JP"/>
        </w:rPr>
        <w:t>obierno</w:t>
      </w:r>
      <w:r w:rsidR="00846142" w:rsidRPr="00FF1DCA">
        <w:rPr>
          <w:rFonts w:ascii="gobCL" w:eastAsiaTheme="minorEastAsia" w:hAnsi="gobCL"/>
          <w:spacing w:val="6"/>
          <w:lang w:eastAsia="ja-JP"/>
        </w:rPr>
        <w:t xml:space="preserve"> de Chile</w:t>
      </w:r>
      <w:r w:rsidR="00BE79F0" w:rsidRPr="00FF1DCA">
        <w:rPr>
          <w:rFonts w:ascii="gobCL" w:eastAsiaTheme="minorEastAsia" w:hAnsi="gobCL"/>
          <w:spacing w:val="6"/>
          <w:lang w:eastAsia="ja-JP"/>
        </w:rPr>
        <w:t xml:space="preserve"> a la CNP.</w:t>
      </w:r>
    </w:p>
    <w:p w:rsidR="00F07980" w:rsidRPr="00FF1DCA" w:rsidRDefault="004A227E" w:rsidP="00F07980">
      <w:p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Joseph Ramos p</w:t>
      </w:r>
      <w:r w:rsidR="00C0257D" w:rsidRPr="00FF1DCA">
        <w:rPr>
          <w:rFonts w:ascii="gobCL" w:eastAsiaTheme="minorEastAsia" w:hAnsi="gobCL"/>
          <w:spacing w:val="6"/>
          <w:lang w:eastAsia="ja-JP"/>
        </w:rPr>
        <w:t>recisó que</w:t>
      </w:r>
      <w:r w:rsidR="00E12E74">
        <w:rPr>
          <w:rFonts w:ascii="gobCL" w:eastAsiaTheme="minorEastAsia" w:hAnsi="gobCL"/>
          <w:spacing w:val="6"/>
          <w:lang w:eastAsia="ja-JP"/>
        </w:rPr>
        <w:t xml:space="preserve"> </w:t>
      </w:r>
      <w:r w:rsidR="00F07980" w:rsidRPr="00FF1DCA">
        <w:rPr>
          <w:rFonts w:ascii="gobCL" w:eastAsiaTheme="minorEastAsia" w:hAnsi="gobCL"/>
          <w:spacing w:val="6"/>
          <w:lang w:eastAsia="ja-JP"/>
        </w:rPr>
        <w:t>del estudio emanó un conjunto de 53 recomendaciones</w:t>
      </w:r>
      <w:r w:rsidR="00F71AF3" w:rsidRPr="00FF1DCA">
        <w:rPr>
          <w:rFonts w:ascii="gobCL" w:eastAsiaTheme="minorEastAsia" w:hAnsi="gobCL"/>
          <w:spacing w:val="6"/>
          <w:lang w:eastAsia="ja-JP"/>
        </w:rPr>
        <w:t xml:space="preserve"> que se dividen en dos mundos:</w:t>
      </w:r>
      <w:r w:rsidR="00E12E74">
        <w:rPr>
          <w:rFonts w:ascii="gobCL" w:eastAsiaTheme="minorEastAsia" w:hAnsi="gobCL"/>
          <w:spacing w:val="6"/>
          <w:lang w:eastAsia="ja-JP"/>
        </w:rPr>
        <w:t xml:space="preserve"> </w:t>
      </w:r>
      <w:r w:rsidR="00F71AF3" w:rsidRPr="00FF1DCA">
        <w:rPr>
          <w:rFonts w:ascii="gobCL" w:eastAsiaTheme="minorEastAsia" w:hAnsi="gobCL"/>
          <w:spacing w:val="6"/>
          <w:lang w:eastAsia="ja-JP"/>
        </w:rPr>
        <w:t xml:space="preserve">34 </w:t>
      </w:r>
      <w:r w:rsidR="00F07980" w:rsidRPr="00FF1DCA">
        <w:rPr>
          <w:rFonts w:ascii="gobCL" w:eastAsiaTheme="minorEastAsia" w:hAnsi="gobCL"/>
          <w:spacing w:val="6"/>
          <w:lang w:eastAsia="ja-JP"/>
        </w:rPr>
        <w:t xml:space="preserve">específicas en los ámbitos de políticas públicas y regulatorias </w:t>
      </w:r>
      <w:r w:rsidR="00F07980" w:rsidRPr="00FF1DCA">
        <w:rPr>
          <w:rFonts w:ascii="gobCL" w:eastAsiaTheme="minorEastAsia" w:hAnsi="gobCL"/>
          <w:b/>
          <w:spacing w:val="6"/>
          <w:lang w:eastAsia="ja-JP"/>
        </w:rPr>
        <w:t>(un “bien público</w:t>
      </w:r>
      <w:r w:rsidR="00F07980" w:rsidRPr="00FF1DCA">
        <w:rPr>
          <w:rFonts w:ascii="gobCL" w:eastAsiaTheme="minorEastAsia" w:hAnsi="gobCL"/>
          <w:spacing w:val="6"/>
          <w:lang w:eastAsia="ja-JP"/>
        </w:rPr>
        <w:t>”)</w:t>
      </w:r>
      <w:r w:rsidR="00F71AF3" w:rsidRPr="00FF1DCA">
        <w:rPr>
          <w:rFonts w:ascii="gobCL" w:eastAsiaTheme="minorEastAsia" w:hAnsi="gobCL"/>
          <w:spacing w:val="6"/>
          <w:lang w:eastAsia="ja-JP"/>
        </w:rPr>
        <w:t xml:space="preserve">, </w:t>
      </w:r>
      <w:r w:rsidR="00F07980" w:rsidRPr="00FF1DCA">
        <w:rPr>
          <w:rFonts w:ascii="gobCL" w:eastAsiaTheme="minorEastAsia" w:hAnsi="gobCL"/>
          <w:spacing w:val="6"/>
          <w:lang w:eastAsia="ja-JP"/>
        </w:rPr>
        <w:t xml:space="preserve"> y </w:t>
      </w:r>
      <w:r w:rsidR="00F71AF3" w:rsidRPr="00FF1DCA">
        <w:rPr>
          <w:rFonts w:ascii="gobCL" w:eastAsiaTheme="minorEastAsia" w:hAnsi="gobCL"/>
          <w:spacing w:val="6"/>
          <w:lang w:eastAsia="ja-JP"/>
        </w:rPr>
        <w:t xml:space="preserve">19 recomendaciones </w:t>
      </w:r>
      <w:r w:rsidR="002D71D3" w:rsidRPr="00FF1DCA">
        <w:rPr>
          <w:rFonts w:ascii="gobCL" w:eastAsiaTheme="minorEastAsia" w:hAnsi="gobCL"/>
          <w:spacing w:val="6"/>
          <w:lang w:eastAsia="ja-JP"/>
        </w:rPr>
        <w:t xml:space="preserve">de </w:t>
      </w:r>
      <w:r w:rsidR="00F07980" w:rsidRPr="00FF1DCA">
        <w:rPr>
          <w:rFonts w:ascii="gobCL" w:eastAsiaTheme="minorEastAsia" w:hAnsi="gobCL"/>
          <w:spacing w:val="6"/>
          <w:lang w:eastAsia="ja-JP"/>
        </w:rPr>
        <w:t xml:space="preserve">políticas sectoriales que requieren la acción conjunta de los actores del sector, incluyendo empresas mineras, contratistas, proveedores y comunidades </w:t>
      </w:r>
      <w:r w:rsidR="00F07980" w:rsidRPr="00FF1DCA">
        <w:rPr>
          <w:rFonts w:ascii="gobCL" w:eastAsiaTheme="minorEastAsia" w:hAnsi="gobCL"/>
          <w:b/>
          <w:spacing w:val="6"/>
          <w:lang w:eastAsia="ja-JP"/>
        </w:rPr>
        <w:t>(un “bien club”).</w:t>
      </w:r>
    </w:p>
    <w:p w:rsidR="004A227E" w:rsidRPr="00FF1DCA" w:rsidRDefault="004A227E" w:rsidP="004A227E">
      <w:pPr>
        <w:shd w:val="clear" w:color="auto" w:fill="FFFFFF"/>
        <w:spacing w:after="150" w:line="240" w:lineRule="auto"/>
        <w:jc w:val="both"/>
        <w:rPr>
          <w:rFonts w:ascii="gobCL" w:eastAsiaTheme="minorEastAsia" w:hAnsi="gobCL"/>
          <w:b/>
          <w:spacing w:val="6"/>
          <w:lang w:eastAsia="ja-JP"/>
        </w:rPr>
      </w:pPr>
      <w:r w:rsidRPr="00FF1DCA">
        <w:rPr>
          <w:rFonts w:ascii="gobCL" w:eastAsiaTheme="minorEastAsia" w:hAnsi="gobCL"/>
          <w:spacing w:val="6"/>
          <w:lang w:eastAsia="ja-JP"/>
        </w:rPr>
        <w:t xml:space="preserve">Además, precisó que a partir de esta investigación emanaron una serie de sugerencias basadas en buenas prácticas para la gestión propia de las empresas </w:t>
      </w:r>
      <w:r w:rsidRPr="00FF1DCA">
        <w:rPr>
          <w:rFonts w:ascii="gobCL" w:eastAsiaTheme="minorEastAsia" w:hAnsi="gobCL"/>
          <w:b/>
          <w:spacing w:val="6"/>
          <w:lang w:eastAsia="ja-JP"/>
        </w:rPr>
        <w:t>(un “bien privado”).</w:t>
      </w:r>
    </w:p>
    <w:p w:rsidR="00BB3C0D" w:rsidRPr="00FF1DCA" w:rsidRDefault="004A227E" w:rsidP="006E751C">
      <w:p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 xml:space="preserve">Junto con enfatizar que se trata de </w:t>
      </w:r>
      <w:r w:rsidRPr="00FF1DCA">
        <w:rPr>
          <w:rFonts w:ascii="gobCL" w:eastAsiaTheme="minorEastAsia" w:hAnsi="gobCL"/>
          <w:b/>
          <w:spacing w:val="6"/>
          <w:lang w:eastAsia="ja-JP"/>
        </w:rPr>
        <w:t>recomendaciones acordadas en forma unánime por el consejo de la CNP</w:t>
      </w:r>
      <w:r w:rsidRPr="00FF1DCA">
        <w:rPr>
          <w:rFonts w:ascii="gobCL" w:eastAsiaTheme="minorEastAsia" w:hAnsi="gobCL"/>
          <w:spacing w:val="6"/>
          <w:lang w:eastAsia="ja-JP"/>
        </w:rPr>
        <w:t xml:space="preserve">, subrayó que “es importante considerar que de hacerse por separado, cada una tendría un impacto limitado, pero en su </w:t>
      </w:r>
      <w:r w:rsidRPr="00FF1DCA">
        <w:rPr>
          <w:rFonts w:ascii="gobCL" w:eastAsiaTheme="minorEastAsia" w:hAnsi="gobCL"/>
          <w:b/>
          <w:spacing w:val="6"/>
          <w:lang w:eastAsia="ja-JP"/>
        </w:rPr>
        <w:t>conjunto se potenciarán y entregarán el máximo beneficio</w:t>
      </w:r>
      <w:r w:rsidR="00DD1A34">
        <w:rPr>
          <w:rFonts w:ascii="gobCL" w:eastAsiaTheme="minorEastAsia" w:hAnsi="gobCL"/>
          <w:b/>
          <w:spacing w:val="6"/>
          <w:lang w:eastAsia="ja-JP"/>
        </w:rPr>
        <w:t>”</w:t>
      </w:r>
      <w:r w:rsidRPr="00FF1DCA">
        <w:rPr>
          <w:rFonts w:ascii="gobCL" w:eastAsiaTheme="minorEastAsia" w:hAnsi="gobCL"/>
          <w:spacing w:val="6"/>
          <w:lang w:eastAsia="ja-JP"/>
        </w:rPr>
        <w:t>.</w:t>
      </w:r>
    </w:p>
    <w:p w:rsidR="002D71D3" w:rsidRPr="00FF1DCA" w:rsidRDefault="006E751C" w:rsidP="006E751C">
      <w:p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Por ello</w:t>
      </w:r>
      <w:r w:rsidR="002D71D3" w:rsidRPr="00FF1DCA">
        <w:rPr>
          <w:rFonts w:ascii="gobCL" w:eastAsiaTheme="minorEastAsia" w:hAnsi="gobCL"/>
          <w:spacing w:val="6"/>
          <w:lang w:eastAsia="ja-JP"/>
        </w:rPr>
        <w:t xml:space="preserve">, hizo hincapié en los </w:t>
      </w:r>
      <w:r w:rsidRPr="00FF1DCA">
        <w:rPr>
          <w:rFonts w:ascii="gobCL" w:eastAsiaTheme="minorEastAsia" w:hAnsi="gobCL"/>
          <w:b/>
          <w:spacing w:val="6"/>
          <w:lang w:eastAsia="ja-JP"/>
        </w:rPr>
        <w:t>tres pilares principales a los que apunta la estrategia</w:t>
      </w:r>
      <w:r w:rsidR="002D71D3" w:rsidRPr="00FF1DCA">
        <w:rPr>
          <w:rFonts w:ascii="gobCL" w:eastAsiaTheme="minorEastAsia" w:hAnsi="gobCL"/>
          <w:spacing w:val="6"/>
          <w:lang w:eastAsia="ja-JP"/>
        </w:rPr>
        <w:t xml:space="preserve">: </w:t>
      </w:r>
    </w:p>
    <w:p w:rsidR="002D71D3" w:rsidRPr="00FF1DCA" w:rsidRDefault="002D71D3" w:rsidP="00FF1DCA">
      <w:pPr>
        <w:pStyle w:val="Prrafodelista"/>
        <w:numPr>
          <w:ilvl w:val="0"/>
          <w:numId w:val="5"/>
        </w:num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U</w:t>
      </w:r>
      <w:r w:rsidR="006E751C" w:rsidRPr="00FF1DCA">
        <w:rPr>
          <w:rFonts w:ascii="gobCL" w:eastAsiaTheme="minorEastAsia" w:hAnsi="gobCL"/>
          <w:spacing w:val="6"/>
          <w:lang w:eastAsia="ja-JP"/>
        </w:rPr>
        <w:t>na gestión de las empresas según las mejores prácticas internac</w:t>
      </w:r>
      <w:r w:rsidRPr="00FF1DCA">
        <w:rPr>
          <w:rFonts w:ascii="gobCL" w:eastAsiaTheme="minorEastAsia" w:hAnsi="gobCL"/>
          <w:spacing w:val="6"/>
          <w:lang w:eastAsia="ja-JP"/>
        </w:rPr>
        <w:t>ionales (bienes “privados”).</w:t>
      </w:r>
    </w:p>
    <w:p w:rsidR="002D71D3" w:rsidRPr="00FF1DCA" w:rsidRDefault="002D71D3" w:rsidP="00FF1DCA">
      <w:pPr>
        <w:pStyle w:val="Prrafodelista"/>
        <w:numPr>
          <w:ilvl w:val="0"/>
          <w:numId w:val="5"/>
        </w:num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U</w:t>
      </w:r>
      <w:r w:rsidR="006E751C" w:rsidRPr="00FF1DCA">
        <w:rPr>
          <w:rFonts w:ascii="gobCL" w:eastAsiaTheme="minorEastAsia" w:hAnsi="gobCL"/>
          <w:spacing w:val="6"/>
          <w:lang w:eastAsia="ja-JP"/>
        </w:rPr>
        <w:t>na mayor</w:t>
      </w:r>
      <w:r w:rsidR="00E12E74">
        <w:rPr>
          <w:rFonts w:ascii="gobCL" w:eastAsiaTheme="minorEastAsia" w:hAnsi="gobCL"/>
          <w:spacing w:val="6"/>
          <w:lang w:eastAsia="ja-JP"/>
        </w:rPr>
        <w:t xml:space="preserve"> </w:t>
      </w:r>
      <w:r w:rsidR="006E751C" w:rsidRPr="00FF1DCA">
        <w:rPr>
          <w:rFonts w:ascii="gobCL" w:eastAsiaTheme="minorEastAsia" w:hAnsi="gobCL"/>
          <w:spacing w:val="6"/>
          <w:lang w:eastAsia="ja-JP"/>
        </w:rPr>
        <w:t>eficiencia en la gestión pública y calidad regulatoria</w:t>
      </w:r>
      <w:r w:rsidRPr="00FF1DCA">
        <w:rPr>
          <w:rFonts w:ascii="gobCL" w:eastAsiaTheme="minorEastAsia" w:hAnsi="gobCL"/>
          <w:spacing w:val="6"/>
          <w:lang w:eastAsia="ja-JP"/>
        </w:rPr>
        <w:t xml:space="preserve"> (bienes “públicos”).</w:t>
      </w:r>
    </w:p>
    <w:p w:rsidR="006E751C" w:rsidRPr="00FF1DCA" w:rsidRDefault="002D71D3" w:rsidP="00FF1DCA">
      <w:pPr>
        <w:pStyle w:val="Prrafodelista"/>
        <w:numPr>
          <w:ilvl w:val="0"/>
          <w:numId w:val="5"/>
        </w:num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lastRenderedPageBreak/>
        <w:t>U</w:t>
      </w:r>
      <w:r w:rsidR="006E751C" w:rsidRPr="00FF1DCA">
        <w:rPr>
          <w:rFonts w:ascii="gobCL" w:eastAsiaTheme="minorEastAsia" w:hAnsi="gobCL"/>
          <w:spacing w:val="6"/>
          <w:lang w:eastAsia="ja-JP"/>
        </w:rPr>
        <w:t>na mayor colaboración y coordinación de las empresas entre sí, con sus contratistas y proveedores, y con las comunidades (bienes “club”), subrayó.</w:t>
      </w:r>
    </w:p>
    <w:p w:rsidR="006E751C" w:rsidRPr="00FF1DCA" w:rsidRDefault="006E751C" w:rsidP="00846142">
      <w:p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Profundizó en que “para devolver a Chile el liderazgo no sólo en producción de cobre, sino también en productividad, se requiere de mejoras en los tres ámbitos, con un esfuerzo conjunto de todos los actores, empresas, trabajadores, proveedores, contratistas, comunidades y el Estado. Por ello se requiere de una estrategia para la minería, y de un diseño para su implementación”.</w:t>
      </w:r>
    </w:p>
    <w:p w:rsidR="00B24CE0" w:rsidRPr="00FF1DCA" w:rsidRDefault="00B24CE0" w:rsidP="00B24CE0">
      <w:pPr>
        <w:shd w:val="clear" w:color="auto" w:fill="FFFFFF"/>
        <w:spacing w:after="150" w:line="240" w:lineRule="auto"/>
        <w:jc w:val="both"/>
        <w:rPr>
          <w:rFonts w:ascii="gobCL" w:eastAsiaTheme="minorEastAsia" w:hAnsi="gobCL"/>
          <w:spacing w:val="6"/>
          <w:lang w:eastAsia="ja-JP"/>
        </w:rPr>
      </w:pPr>
      <w:r w:rsidRPr="00FF1DCA">
        <w:rPr>
          <w:rFonts w:ascii="gobCL" w:eastAsiaTheme="minorEastAsia" w:hAnsi="gobCL"/>
          <w:spacing w:val="6"/>
          <w:lang w:eastAsia="ja-JP"/>
        </w:rPr>
        <w:t xml:space="preserve">Explicó que “dado el ámbito de aplicación de las intervenciones sugeridas, </w:t>
      </w:r>
      <w:r w:rsidRPr="00FF1DCA">
        <w:rPr>
          <w:rFonts w:ascii="gobCL" w:eastAsiaTheme="minorEastAsia" w:hAnsi="gobCL"/>
          <w:b/>
          <w:spacing w:val="6"/>
          <w:lang w:eastAsia="ja-JP"/>
        </w:rPr>
        <w:t>se recomienda que el liderazgo en la coordinación e implementación de la estrategia se asigne a un Ministerio multisectorial.</w:t>
      </w:r>
      <w:r w:rsidRPr="00FF1DCA">
        <w:rPr>
          <w:rFonts w:ascii="gobCL" w:eastAsiaTheme="minorEastAsia" w:hAnsi="gobCL"/>
          <w:spacing w:val="6"/>
          <w:lang w:eastAsia="ja-JP"/>
        </w:rPr>
        <w:t xml:space="preserve"> Segundo, se requerirá </w:t>
      </w:r>
      <w:r w:rsidRPr="00FF1DCA">
        <w:rPr>
          <w:rFonts w:ascii="gobCL" w:eastAsiaTheme="minorEastAsia" w:hAnsi="gobCL"/>
          <w:b/>
          <w:spacing w:val="6"/>
          <w:lang w:eastAsia="ja-JP"/>
        </w:rPr>
        <w:t>definir un plan de acción e implementación</w:t>
      </w:r>
      <w:r w:rsidRPr="00FF1DCA">
        <w:rPr>
          <w:rFonts w:ascii="gobCL" w:eastAsiaTheme="minorEastAsia" w:hAnsi="gobCL"/>
          <w:spacing w:val="6"/>
          <w:lang w:eastAsia="ja-JP"/>
        </w:rPr>
        <w:t xml:space="preserve"> que asigne responsables, prioridades, metas y plazos. Tercero, será oportuno </w:t>
      </w:r>
      <w:r w:rsidRPr="00FF1DCA">
        <w:rPr>
          <w:rFonts w:ascii="gobCL" w:eastAsiaTheme="minorEastAsia" w:hAnsi="gobCL"/>
          <w:b/>
          <w:spacing w:val="6"/>
          <w:lang w:eastAsia="ja-JP"/>
        </w:rPr>
        <w:t>ordenar las intervenciones según el grado de complejidad,</w:t>
      </w:r>
      <w:r w:rsidRPr="00FF1DCA">
        <w:rPr>
          <w:rFonts w:ascii="gobCL" w:eastAsiaTheme="minorEastAsia" w:hAnsi="gobCL"/>
          <w:spacing w:val="6"/>
          <w:lang w:eastAsia="ja-JP"/>
        </w:rPr>
        <w:t xml:space="preserve"> partiendo por las acciones administrativas y regulatorias, y por convencer a los principales actores de la necesidad de los cambios legales”, detalló.</w:t>
      </w:r>
    </w:p>
    <w:p w:rsidR="00B24CE0" w:rsidRPr="00FF1DCA" w:rsidRDefault="00B24CE0" w:rsidP="00B24CE0">
      <w:pPr>
        <w:spacing w:after="0" w:line="276" w:lineRule="auto"/>
        <w:jc w:val="both"/>
        <w:rPr>
          <w:rFonts w:ascii="Times New Roman" w:eastAsia="Times New Roman" w:hAnsi="Times New Roman" w:cs="Times New Roman"/>
          <w:color w:val="000000"/>
          <w:lang w:eastAsia="es-CL"/>
        </w:rPr>
      </w:pPr>
    </w:p>
    <w:p w:rsidR="008D752E" w:rsidRDefault="008D752E" w:rsidP="00AB52C0">
      <w:pPr>
        <w:spacing w:line="276" w:lineRule="auto"/>
        <w:jc w:val="both"/>
        <w:rPr>
          <w:rFonts w:ascii="gobCL" w:eastAsiaTheme="minorEastAsia" w:hAnsi="gobCL"/>
          <w:b/>
          <w:i/>
          <w:spacing w:val="6"/>
          <w:lang w:eastAsia="ja-JP"/>
        </w:rPr>
      </w:pPr>
      <w:r>
        <w:rPr>
          <w:rFonts w:ascii="gobCL" w:eastAsiaTheme="minorEastAsia" w:hAnsi="gobCL"/>
          <w:b/>
          <w:i/>
          <w:spacing w:val="6"/>
          <w:lang w:eastAsia="ja-JP"/>
        </w:rPr>
        <w:t>El Diagnóstico</w:t>
      </w:r>
    </w:p>
    <w:p w:rsidR="00873E88" w:rsidRDefault="00371CBE" w:rsidP="00616DE4">
      <w:pPr>
        <w:pStyle w:val="NormalWeb"/>
        <w:shd w:val="clear" w:color="auto" w:fill="FFFFFF"/>
        <w:spacing w:before="0" w:beforeAutospacing="0" w:after="150" w:afterAutospacing="0"/>
        <w:jc w:val="both"/>
        <w:rPr>
          <w:rFonts w:ascii="gobCL" w:eastAsiaTheme="minorEastAsia" w:hAnsi="gobCL" w:cstheme="minorBidi"/>
          <w:spacing w:val="6"/>
          <w:sz w:val="22"/>
          <w:szCs w:val="22"/>
          <w:lang w:eastAsia="ja-JP"/>
        </w:rPr>
      </w:pPr>
      <w:r>
        <w:rPr>
          <w:rFonts w:ascii="gobCL" w:eastAsiaTheme="minorEastAsia" w:hAnsi="gobCL" w:cstheme="minorBidi"/>
          <w:spacing w:val="6"/>
          <w:sz w:val="22"/>
          <w:szCs w:val="22"/>
          <w:lang w:eastAsia="ja-JP"/>
        </w:rPr>
        <w:t xml:space="preserve">Joseph Ramos explicó </w:t>
      </w:r>
      <w:r w:rsidR="00616DE4">
        <w:rPr>
          <w:rFonts w:ascii="gobCL" w:eastAsiaTheme="minorEastAsia" w:hAnsi="gobCL" w:cstheme="minorBidi"/>
          <w:spacing w:val="6"/>
          <w:sz w:val="22"/>
          <w:szCs w:val="22"/>
          <w:lang w:eastAsia="ja-JP"/>
        </w:rPr>
        <w:t xml:space="preserve"> que </w:t>
      </w:r>
      <w:r w:rsidR="00616DE4" w:rsidRPr="00616DE4">
        <w:rPr>
          <w:rFonts w:ascii="gobCL" w:eastAsiaTheme="minorEastAsia" w:hAnsi="gobCL" w:cstheme="minorBidi"/>
          <w:spacing w:val="6"/>
          <w:sz w:val="22"/>
          <w:szCs w:val="22"/>
          <w:lang w:eastAsia="ja-JP"/>
        </w:rPr>
        <w:t xml:space="preserve">el </w:t>
      </w:r>
      <w:r w:rsidR="00616DE4" w:rsidRPr="00616DE4">
        <w:rPr>
          <w:rFonts w:ascii="gobCL" w:eastAsiaTheme="minorEastAsia" w:hAnsi="gobCL" w:cstheme="minorBidi"/>
          <w:b/>
          <w:spacing w:val="6"/>
          <w:sz w:val="22"/>
          <w:szCs w:val="22"/>
          <w:lang w:eastAsia="ja-JP"/>
        </w:rPr>
        <w:t>Informe de Productividad de la Gran Minería del Cobre en Chile</w:t>
      </w:r>
      <w:r w:rsidR="00616DE4" w:rsidRPr="00616DE4">
        <w:rPr>
          <w:rFonts w:ascii="gobCL" w:eastAsiaTheme="minorEastAsia" w:hAnsi="gobCL" w:cstheme="minorBidi"/>
          <w:spacing w:val="6"/>
          <w:sz w:val="22"/>
          <w:szCs w:val="22"/>
          <w:lang w:eastAsia="ja-JP"/>
        </w:rPr>
        <w:t xml:space="preserve"> es un trabajo </w:t>
      </w:r>
      <w:r w:rsidR="00ED7EC4">
        <w:rPr>
          <w:rFonts w:ascii="gobCL" w:eastAsiaTheme="minorEastAsia" w:hAnsi="gobCL" w:cstheme="minorBidi"/>
          <w:b/>
          <w:spacing w:val="6"/>
          <w:sz w:val="22"/>
          <w:szCs w:val="22"/>
          <w:lang w:eastAsia="ja-JP"/>
        </w:rPr>
        <w:t>único en su g</w:t>
      </w:r>
      <w:r w:rsidR="00D1309C">
        <w:rPr>
          <w:rFonts w:ascii="gobCL" w:eastAsiaTheme="minorEastAsia" w:hAnsi="gobCL" w:cstheme="minorBidi"/>
          <w:b/>
          <w:spacing w:val="6"/>
          <w:sz w:val="22"/>
          <w:szCs w:val="22"/>
          <w:lang w:eastAsia="ja-JP"/>
        </w:rPr>
        <w:t>é</w:t>
      </w:r>
      <w:r w:rsidR="00ED7EC4">
        <w:rPr>
          <w:rFonts w:ascii="gobCL" w:eastAsiaTheme="minorEastAsia" w:hAnsi="gobCL" w:cstheme="minorBidi"/>
          <w:b/>
          <w:spacing w:val="6"/>
          <w:sz w:val="22"/>
          <w:szCs w:val="22"/>
          <w:lang w:eastAsia="ja-JP"/>
        </w:rPr>
        <w:t>nero</w:t>
      </w:r>
      <w:r w:rsidR="00F451AC">
        <w:rPr>
          <w:rFonts w:ascii="gobCL" w:eastAsiaTheme="minorEastAsia" w:hAnsi="gobCL" w:cstheme="minorBidi"/>
          <w:b/>
          <w:spacing w:val="6"/>
          <w:sz w:val="22"/>
          <w:szCs w:val="22"/>
          <w:lang w:eastAsia="ja-JP"/>
        </w:rPr>
        <w:t xml:space="preserve"> </w:t>
      </w:r>
      <w:r w:rsidR="00616DE4" w:rsidRPr="00616DE4">
        <w:rPr>
          <w:rFonts w:ascii="gobCL" w:eastAsiaTheme="minorEastAsia" w:hAnsi="gobCL" w:cstheme="minorBidi"/>
          <w:b/>
          <w:spacing w:val="6"/>
          <w:sz w:val="22"/>
          <w:szCs w:val="22"/>
          <w:lang w:eastAsia="ja-JP"/>
        </w:rPr>
        <w:t>a nivel mundial</w:t>
      </w:r>
      <w:r w:rsidR="00F451AC">
        <w:rPr>
          <w:rFonts w:ascii="gobCL" w:eastAsiaTheme="minorEastAsia" w:hAnsi="gobCL" w:cstheme="minorBidi"/>
          <w:b/>
          <w:spacing w:val="6"/>
          <w:sz w:val="22"/>
          <w:szCs w:val="22"/>
          <w:lang w:eastAsia="ja-JP"/>
        </w:rPr>
        <w:t xml:space="preserve"> </w:t>
      </w:r>
      <w:r w:rsidR="00ED7EC4">
        <w:rPr>
          <w:rFonts w:ascii="gobCL" w:eastAsiaTheme="minorEastAsia" w:hAnsi="gobCL" w:cstheme="minorBidi"/>
          <w:spacing w:val="6"/>
          <w:sz w:val="22"/>
          <w:szCs w:val="22"/>
          <w:lang w:eastAsia="ja-JP"/>
        </w:rPr>
        <w:t xml:space="preserve">que compara la productividad de las 12 principales faenas chilenas con siete operaciones mineras </w:t>
      </w:r>
      <w:r w:rsidR="00FF5CB1">
        <w:rPr>
          <w:rFonts w:ascii="gobCL" w:eastAsiaTheme="minorEastAsia" w:hAnsi="gobCL" w:cstheme="minorBidi"/>
          <w:spacing w:val="6"/>
          <w:sz w:val="22"/>
          <w:szCs w:val="22"/>
          <w:lang w:eastAsia="ja-JP"/>
        </w:rPr>
        <w:t xml:space="preserve">de </w:t>
      </w:r>
      <w:r w:rsidR="0088734A" w:rsidRPr="0088734A">
        <w:rPr>
          <w:rFonts w:ascii="gobCL" w:eastAsiaTheme="minorEastAsia" w:hAnsi="gobCL" w:cstheme="minorBidi"/>
          <w:b/>
          <w:spacing w:val="6"/>
          <w:sz w:val="22"/>
          <w:szCs w:val="22"/>
          <w:lang w:eastAsia="ja-JP"/>
        </w:rPr>
        <w:t>mejor práctica</w:t>
      </w:r>
      <w:r w:rsidR="00F451AC">
        <w:rPr>
          <w:rFonts w:ascii="gobCL" w:eastAsiaTheme="minorEastAsia" w:hAnsi="gobCL" w:cstheme="minorBidi"/>
          <w:b/>
          <w:spacing w:val="6"/>
          <w:sz w:val="22"/>
          <w:szCs w:val="22"/>
          <w:lang w:eastAsia="ja-JP"/>
        </w:rPr>
        <w:t xml:space="preserve"> </w:t>
      </w:r>
      <w:r w:rsidR="00ED7EC4">
        <w:rPr>
          <w:rFonts w:ascii="gobCL" w:eastAsiaTheme="minorEastAsia" w:hAnsi="gobCL" w:cstheme="minorBidi"/>
          <w:spacing w:val="6"/>
          <w:sz w:val="22"/>
          <w:szCs w:val="22"/>
          <w:lang w:eastAsia="ja-JP"/>
        </w:rPr>
        <w:t>en Australia, Canadá, Estado</w:t>
      </w:r>
      <w:r w:rsidR="00D1309C">
        <w:rPr>
          <w:rFonts w:ascii="gobCL" w:eastAsiaTheme="minorEastAsia" w:hAnsi="gobCL" w:cstheme="minorBidi"/>
          <w:spacing w:val="6"/>
          <w:sz w:val="22"/>
          <w:szCs w:val="22"/>
          <w:lang w:eastAsia="ja-JP"/>
        </w:rPr>
        <w:t>s</w:t>
      </w:r>
      <w:r w:rsidR="00ED7EC4">
        <w:rPr>
          <w:rFonts w:ascii="gobCL" w:eastAsiaTheme="minorEastAsia" w:hAnsi="gobCL" w:cstheme="minorBidi"/>
          <w:spacing w:val="6"/>
          <w:sz w:val="22"/>
          <w:szCs w:val="22"/>
          <w:lang w:eastAsia="ja-JP"/>
        </w:rPr>
        <w:t xml:space="preserve"> Unidos y Perú. Se determin</w:t>
      </w:r>
      <w:r w:rsidR="00FF5CB1">
        <w:rPr>
          <w:rFonts w:ascii="gobCL" w:eastAsiaTheme="minorEastAsia" w:hAnsi="gobCL" w:cstheme="minorBidi"/>
          <w:spacing w:val="6"/>
          <w:sz w:val="22"/>
          <w:szCs w:val="22"/>
          <w:lang w:eastAsia="ja-JP"/>
        </w:rPr>
        <w:t xml:space="preserve">ó no sólo </w:t>
      </w:r>
      <w:r w:rsidR="00ED7EC4">
        <w:rPr>
          <w:rFonts w:ascii="gobCL" w:eastAsiaTheme="minorEastAsia" w:hAnsi="gobCL" w:cstheme="minorBidi"/>
          <w:spacing w:val="6"/>
          <w:sz w:val="22"/>
          <w:szCs w:val="22"/>
          <w:lang w:eastAsia="ja-JP"/>
        </w:rPr>
        <w:t xml:space="preserve">las brechas en productividad laboral </w:t>
      </w:r>
      <w:r w:rsidR="00FF5CB1">
        <w:rPr>
          <w:rFonts w:ascii="gobCL" w:eastAsiaTheme="minorEastAsia" w:hAnsi="gobCL" w:cstheme="minorBidi"/>
          <w:spacing w:val="6"/>
          <w:sz w:val="22"/>
          <w:szCs w:val="22"/>
          <w:lang w:eastAsia="ja-JP"/>
        </w:rPr>
        <w:t xml:space="preserve">sino también las brechas </w:t>
      </w:r>
      <w:r w:rsidR="00ED7EC4">
        <w:rPr>
          <w:rFonts w:ascii="gobCL" w:eastAsiaTheme="minorEastAsia" w:hAnsi="gobCL" w:cstheme="minorBidi"/>
          <w:spacing w:val="6"/>
          <w:sz w:val="22"/>
          <w:szCs w:val="22"/>
          <w:lang w:eastAsia="ja-JP"/>
        </w:rPr>
        <w:t>en u</w:t>
      </w:r>
      <w:r w:rsidR="00FF5CB1">
        <w:rPr>
          <w:rFonts w:ascii="gobCL" w:eastAsiaTheme="minorEastAsia" w:hAnsi="gobCL" w:cstheme="minorBidi"/>
          <w:spacing w:val="6"/>
          <w:sz w:val="22"/>
          <w:szCs w:val="22"/>
          <w:lang w:eastAsia="ja-JP"/>
        </w:rPr>
        <w:t xml:space="preserve">tilización </w:t>
      </w:r>
      <w:r w:rsidR="00ED7EC4">
        <w:rPr>
          <w:rFonts w:ascii="gobCL" w:eastAsiaTheme="minorEastAsia" w:hAnsi="gobCL" w:cstheme="minorBidi"/>
          <w:spacing w:val="6"/>
          <w:sz w:val="22"/>
          <w:szCs w:val="22"/>
          <w:lang w:eastAsia="ja-JP"/>
        </w:rPr>
        <w:t xml:space="preserve"> eficiente de los equipos</w:t>
      </w:r>
      <w:r w:rsidR="00FF5CB1">
        <w:rPr>
          <w:rFonts w:ascii="gobCL" w:eastAsiaTheme="minorEastAsia" w:hAnsi="gobCL" w:cstheme="minorBidi"/>
          <w:spacing w:val="6"/>
          <w:sz w:val="22"/>
          <w:szCs w:val="22"/>
          <w:lang w:eastAsia="ja-JP"/>
        </w:rPr>
        <w:t>, esto último particularmente importante en una industria</w:t>
      </w:r>
      <w:r w:rsidR="00AF5D19">
        <w:rPr>
          <w:rFonts w:ascii="gobCL" w:eastAsiaTheme="minorEastAsia" w:hAnsi="gobCL" w:cstheme="minorBidi"/>
          <w:spacing w:val="6"/>
          <w:sz w:val="22"/>
          <w:szCs w:val="22"/>
          <w:lang w:eastAsia="ja-JP"/>
        </w:rPr>
        <w:t>, como la minería,</w:t>
      </w:r>
      <w:r w:rsidR="00FF5CB1">
        <w:rPr>
          <w:rFonts w:ascii="gobCL" w:eastAsiaTheme="minorEastAsia" w:hAnsi="gobCL" w:cstheme="minorBidi"/>
          <w:spacing w:val="6"/>
          <w:sz w:val="22"/>
          <w:szCs w:val="22"/>
          <w:lang w:eastAsia="ja-JP"/>
        </w:rPr>
        <w:t xml:space="preserve"> altamente intensiva en capital.</w:t>
      </w:r>
      <w:r w:rsidR="00F451AC">
        <w:rPr>
          <w:rFonts w:ascii="gobCL" w:eastAsiaTheme="minorEastAsia" w:hAnsi="gobCL" w:cstheme="minorBidi"/>
          <w:spacing w:val="6"/>
          <w:sz w:val="22"/>
          <w:szCs w:val="22"/>
          <w:lang w:eastAsia="ja-JP"/>
        </w:rPr>
        <w:t xml:space="preserve"> </w:t>
      </w:r>
      <w:r w:rsidR="00AF5D19">
        <w:rPr>
          <w:rFonts w:ascii="gobCL" w:eastAsiaTheme="minorEastAsia" w:hAnsi="gobCL" w:cstheme="minorBidi"/>
          <w:spacing w:val="6"/>
          <w:sz w:val="22"/>
          <w:szCs w:val="22"/>
          <w:lang w:eastAsia="ja-JP"/>
        </w:rPr>
        <w:t>Por medio de la identificación y adopción de las mejores prácticas internacionales se propone lograr</w:t>
      </w:r>
      <w:r w:rsidR="00F451AC">
        <w:rPr>
          <w:rFonts w:ascii="gobCL" w:eastAsiaTheme="minorEastAsia" w:hAnsi="gobCL" w:cstheme="minorBidi"/>
          <w:spacing w:val="6"/>
          <w:sz w:val="22"/>
          <w:szCs w:val="22"/>
          <w:lang w:eastAsia="ja-JP"/>
        </w:rPr>
        <w:t xml:space="preserve"> </w:t>
      </w:r>
      <w:r w:rsidR="00AF5D19">
        <w:rPr>
          <w:rFonts w:ascii="gobCL" w:eastAsiaTheme="minorEastAsia" w:hAnsi="gobCL" w:cstheme="minorBidi"/>
          <w:spacing w:val="6"/>
          <w:sz w:val="22"/>
          <w:szCs w:val="22"/>
          <w:lang w:eastAsia="ja-JP"/>
        </w:rPr>
        <w:t xml:space="preserve">en </w:t>
      </w:r>
      <w:r w:rsidR="00FF5CB1">
        <w:rPr>
          <w:rFonts w:ascii="gobCL" w:eastAsiaTheme="minorEastAsia" w:hAnsi="gobCL" w:cstheme="minorBidi"/>
          <w:spacing w:val="6"/>
          <w:sz w:val="22"/>
          <w:szCs w:val="22"/>
          <w:lang w:eastAsia="ja-JP"/>
        </w:rPr>
        <w:t>C</w:t>
      </w:r>
      <w:r w:rsidR="00ED7EC4">
        <w:rPr>
          <w:rFonts w:ascii="gobCL" w:eastAsiaTheme="minorEastAsia" w:hAnsi="gobCL" w:cstheme="minorBidi"/>
          <w:spacing w:val="6"/>
          <w:sz w:val="22"/>
          <w:szCs w:val="22"/>
          <w:lang w:eastAsia="ja-JP"/>
        </w:rPr>
        <w:t>hile un liderazgo en productividad cuprífera.</w:t>
      </w:r>
    </w:p>
    <w:p w:rsidR="009C3926" w:rsidRDefault="00D1309C" w:rsidP="00873E88">
      <w:pPr>
        <w:pStyle w:val="NormalWeb"/>
        <w:shd w:val="clear" w:color="auto" w:fill="FFFFFF"/>
        <w:spacing w:before="0" w:beforeAutospacing="0" w:after="150" w:afterAutospacing="0"/>
        <w:jc w:val="both"/>
        <w:rPr>
          <w:rFonts w:ascii="gobCL" w:eastAsiaTheme="minorEastAsia" w:hAnsi="gobCL" w:cstheme="minorBidi"/>
          <w:spacing w:val="6"/>
          <w:sz w:val="22"/>
          <w:szCs w:val="22"/>
          <w:lang w:eastAsia="ja-JP"/>
        </w:rPr>
      </w:pPr>
      <w:r>
        <w:rPr>
          <w:rFonts w:ascii="gobCL" w:eastAsiaTheme="minorEastAsia" w:hAnsi="gobCL" w:cstheme="minorBidi"/>
          <w:spacing w:val="6"/>
          <w:sz w:val="22"/>
          <w:szCs w:val="22"/>
          <w:lang w:eastAsia="ja-JP"/>
        </w:rPr>
        <w:t>Detalló que “l</w:t>
      </w:r>
      <w:r w:rsidR="00616DE4" w:rsidRPr="00616DE4">
        <w:rPr>
          <w:rFonts w:ascii="gobCL" w:eastAsiaTheme="minorEastAsia" w:hAnsi="gobCL" w:cstheme="minorBidi"/>
          <w:spacing w:val="6"/>
          <w:sz w:val="22"/>
          <w:szCs w:val="22"/>
          <w:lang w:eastAsia="ja-JP"/>
        </w:rPr>
        <w:t>os datos muestran importantes brechas de productividad, tanto dentro de Chile como respecto a la</w:t>
      </w:r>
      <w:r w:rsidR="00AA0D66">
        <w:rPr>
          <w:rFonts w:ascii="gobCL" w:eastAsiaTheme="minorEastAsia" w:hAnsi="gobCL" w:cstheme="minorBidi"/>
          <w:spacing w:val="6"/>
          <w:sz w:val="22"/>
          <w:szCs w:val="22"/>
          <w:lang w:eastAsia="ja-JP"/>
        </w:rPr>
        <w:t xml:space="preserve">s operaciones </w:t>
      </w:r>
      <w:r w:rsidR="00873E88">
        <w:rPr>
          <w:rFonts w:ascii="gobCL" w:eastAsiaTheme="minorEastAsia" w:hAnsi="gobCL" w:cstheme="minorBidi"/>
          <w:spacing w:val="6"/>
          <w:sz w:val="22"/>
          <w:szCs w:val="22"/>
          <w:lang w:eastAsia="ja-JP"/>
        </w:rPr>
        <w:t xml:space="preserve">de mejor práctica </w:t>
      </w:r>
      <w:r w:rsidR="00AA0D66">
        <w:rPr>
          <w:rFonts w:ascii="gobCL" w:eastAsiaTheme="minorEastAsia" w:hAnsi="gobCL" w:cstheme="minorBidi"/>
          <w:spacing w:val="6"/>
          <w:sz w:val="22"/>
          <w:szCs w:val="22"/>
          <w:lang w:eastAsia="ja-JP"/>
        </w:rPr>
        <w:t>internacional</w:t>
      </w:r>
      <w:r w:rsidR="00873E88">
        <w:rPr>
          <w:rFonts w:ascii="gobCL" w:eastAsiaTheme="minorEastAsia" w:hAnsi="gobCL" w:cstheme="minorBidi"/>
          <w:spacing w:val="6"/>
          <w:sz w:val="22"/>
          <w:szCs w:val="22"/>
          <w:lang w:eastAsia="ja-JP"/>
        </w:rPr>
        <w:t xml:space="preserve"> Por ejemplo, </w:t>
      </w:r>
      <w:r w:rsidR="00616DE4" w:rsidRPr="00616DE4">
        <w:rPr>
          <w:rFonts w:ascii="gobCL" w:eastAsiaTheme="minorEastAsia" w:hAnsi="gobCL" w:cstheme="minorBidi"/>
          <w:spacing w:val="6"/>
          <w:sz w:val="22"/>
          <w:szCs w:val="22"/>
          <w:lang w:eastAsia="ja-JP"/>
        </w:rPr>
        <w:t>en transporte, el yacimiento más eficiente en Chile utiliza los camiones el 80% de tiempo calendario, mientras la menos eficiente un 47%”</w:t>
      </w:r>
      <w:r w:rsidR="00873E88">
        <w:rPr>
          <w:rFonts w:ascii="gobCL" w:eastAsiaTheme="minorEastAsia" w:hAnsi="gobCL" w:cstheme="minorBidi"/>
          <w:spacing w:val="6"/>
          <w:sz w:val="22"/>
          <w:szCs w:val="22"/>
          <w:lang w:eastAsia="ja-JP"/>
        </w:rPr>
        <w:t>. En promedio, las faenas chilenas utilizan los camio</w:t>
      </w:r>
      <w:r w:rsidR="008547A7">
        <w:rPr>
          <w:rFonts w:ascii="gobCL" w:eastAsiaTheme="minorEastAsia" w:hAnsi="gobCL" w:cstheme="minorBidi"/>
          <w:spacing w:val="6"/>
          <w:sz w:val="22"/>
          <w:szCs w:val="22"/>
          <w:lang w:eastAsia="ja-JP"/>
        </w:rPr>
        <w:t>n</w:t>
      </w:r>
      <w:r w:rsidR="00873E88">
        <w:rPr>
          <w:rFonts w:ascii="gobCL" w:eastAsiaTheme="minorEastAsia" w:hAnsi="gobCL" w:cstheme="minorBidi"/>
          <w:spacing w:val="6"/>
          <w:sz w:val="22"/>
          <w:szCs w:val="22"/>
          <w:lang w:eastAsia="ja-JP"/>
        </w:rPr>
        <w:t>es el 64% de</w:t>
      </w:r>
      <w:r w:rsidR="009C011F">
        <w:rPr>
          <w:rFonts w:ascii="gobCL" w:eastAsiaTheme="minorEastAsia" w:hAnsi="gobCL" w:cstheme="minorBidi"/>
          <w:spacing w:val="6"/>
          <w:sz w:val="22"/>
          <w:szCs w:val="22"/>
          <w:lang w:eastAsia="ja-JP"/>
        </w:rPr>
        <w:t>l tiempo en comparación con un 7</w:t>
      </w:r>
      <w:r w:rsidR="00873E88">
        <w:rPr>
          <w:rFonts w:ascii="gobCL" w:eastAsiaTheme="minorEastAsia" w:hAnsi="gobCL" w:cstheme="minorBidi"/>
          <w:spacing w:val="6"/>
          <w:sz w:val="22"/>
          <w:szCs w:val="22"/>
          <w:lang w:eastAsia="ja-JP"/>
        </w:rPr>
        <w:t xml:space="preserve">0% en las mejores faenas </w:t>
      </w:r>
      <w:r w:rsidR="00873E88" w:rsidRPr="00A24463">
        <w:rPr>
          <w:rFonts w:ascii="gobCL" w:eastAsiaTheme="minorEastAsia" w:hAnsi="gobCL" w:cstheme="minorBidi"/>
          <w:spacing w:val="6"/>
          <w:sz w:val="22"/>
          <w:szCs w:val="22"/>
          <w:lang w:eastAsia="ja-JP"/>
        </w:rPr>
        <w:t>internacionales</w:t>
      </w:r>
      <w:r w:rsidR="00E12E74">
        <w:rPr>
          <w:rFonts w:ascii="gobCL" w:eastAsiaTheme="minorEastAsia" w:hAnsi="gobCL" w:cstheme="minorBidi"/>
          <w:spacing w:val="6"/>
          <w:sz w:val="22"/>
          <w:szCs w:val="22"/>
          <w:lang w:eastAsia="ja-JP"/>
        </w:rPr>
        <w:t>.</w:t>
      </w:r>
      <w:r w:rsidR="00A24463" w:rsidRPr="00A24463">
        <w:rPr>
          <w:rFonts w:ascii="gobCL" w:eastAsiaTheme="minorEastAsia" w:hAnsi="gobCL" w:cstheme="minorBidi"/>
          <w:spacing w:val="6"/>
          <w:sz w:val="22"/>
          <w:szCs w:val="22"/>
          <w:lang w:eastAsia="ja-JP"/>
        </w:rPr>
        <w:t xml:space="preserve"> </w:t>
      </w:r>
    </w:p>
    <w:p w:rsidR="00616DE4" w:rsidRPr="000A3CF4" w:rsidRDefault="00424AB9" w:rsidP="00873E88">
      <w:pPr>
        <w:pStyle w:val="NormalWeb"/>
        <w:shd w:val="clear" w:color="auto" w:fill="FFFFFF"/>
        <w:spacing w:before="0" w:beforeAutospacing="0" w:after="150" w:afterAutospacing="0"/>
        <w:jc w:val="both"/>
        <w:rPr>
          <w:rFonts w:ascii="gobCL" w:eastAsiaTheme="minorEastAsia" w:hAnsi="gobCL" w:cstheme="minorBidi"/>
          <w:spacing w:val="6"/>
          <w:sz w:val="22"/>
          <w:szCs w:val="22"/>
          <w:lang w:eastAsia="ja-JP"/>
        </w:rPr>
      </w:pPr>
      <w:r w:rsidRPr="009C3926">
        <w:rPr>
          <w:rFonts w:ascii="gobCL" w:eastAsiaTheme="minorEastAsia" w:hAnsi="gobCL" w:cstheme="minorBidi"/>
          <w:spacing w:val="6"/>
          <w:sz w:val="22"/>
          <w:szCs w:val="22"/>
          <w:lang w:eastAsia="ja-JP"/>
        </w:rPr>
        <w:t>Asimismo</w:t>
      </w:r>
      <w:r w:rsidR="008547A7" w:rsidRPr="009C3926">
        <w:rPr>
          <w:rFonts w:ascii="gobCL" w:eastAsiaTheme="minorEastAsia" w:hAnsi="gobCL" w:cstheme="minorBidi"/>
          <w:spacing w:val="6"/>
          <w:sz w:val="22"/>
          <w:szCs w:val="22"/>
          <w:lang w:eastAsia="ja-JP"/>
        </w:rPr>
        <w:t xml:space="preserve">, en molienda las faenas chilenas </w:t>
      </w:r>
      <w:r w:rsidR="004321F1" w:rsidRPr="009C3926">
        <w:rPr>
          <w:rFonts w:ascii="gobCL" w:eastAsiaTheme="minorEastAsia" w:hAnsi="gobCL" w:cstheme="minorBidi"/>
          <w:spacing w:val="6"/>
          <w:sz w:val="22"/>
          <w:szCs w:val="22"/>
          <w:lang w:eastAsia="ja-JP"/>
        </w:rPr>
        <w:t xml:space="preserve">operan en promedio </w:t>
      </w:r>
      <w:r w:rsidR="008547A7" w:rsidRPr="009C3926">
        <w:rPr>
          <w:rFonts w:ascii="gobCL" w:eastAsiaTheme="minorEastAsia" w:hAnsi="gobCL" w:cstheme="minorBidi"/>
          <w:spacing w:val="6"/>
          <w:sz w:val="22"/>
          <w:szCs w:val="22"/>
          <w:lang w:eastAsia="ja-JP"/>
        </w:rPr>
        <w:t xml:space="preserve">el </w:t>
      </w:r>
      <w:r w:rsidR="00E92038">
        <w:rPr>
          <w:rFonts w:ascii="gobCL" w:eastAsiaTheme="minorEastAsia" w:hAnsi="gobCL" w:cstheme="minorBidi"/>
          <w:spacing w:val="6"/>
          <w:sz w:val="22"/>
          <w:szCs w:val="22"/>
          <w:lang w:eastAsia="ja-JP"/>
        </w:rPr>
        <w:t>84</w:t>
      </w:r>
      <w:r w:rsidR="008547A7" w:rsidRPr="009C3926">
        <w:rPr>
          <w:rFonts w:ascii="gobCL" w:eastAsiaTheme="minorEastAsia" w:hAnsi="gobCL" w:cstheme="minorBidi"/>
          <w:spacing w:val="6"/>
          <w:sz w:val="22"/>
          <w:szCs w:val="22"/>
          <w:lang w:eastAsia="ja-JP"/>
        </w:rPr>
        <w:t>% del tiempo</w:t>
      </w:r>
      <w:r w:rsidR="00E92038">
        <w:rPr>
          <w:rFonts w:ascii="gobCL" w:eastAsiaTheme="minorEastAsia" w:hAnsi="gobCL" w:cstheme="minorBidi"/>
          <w:spacing w:val="6"/>
          <w:sz w:val="22"/>
          <w:szCs w:val="22"/>
          <w:lang w:eastAsia="ja-JP"/>
        </w:rPr>
        <w:t xml:space="preserve"> calendario</w:t>
      </w:r>
      <w:r w:rsidR="008547A7" w:rsidRPr="009C3926">
        <w:rPr>
          <w:rFonts w:ascii="gobCL" w:eastAsiaTheme="minorEastAsia" w:hAnsi="gobCL" w:cstheme="minorBidi"/>
          <w:spacing w:val="6"/>
          <w:sz w:val="22"/>
          <w:szCs w:val="22"/>
          <w:lang w:eastAsia="ja-JP"/>
        </w:rPr>
        <w:t xml:space="preserve"> </w:t>
      </w:r>
      <w:r w:rsidR="004321F1" w:rsidRPr="009C3926">
        <w:rPr>
          <w:rFonts w:ascii="gobCL" w:eastAsiaTheme="minorEastAsia" w:hAnsi="gobCL" w:cstheme="minorBidi"/>
          <w:spacing w:val="6"/>
          <w:sz w:val="22"/>
          <w:szCs w:val="22"/>
          <w:lang w:eastAsia="ja-JP"/>
        </w:rPr>
        <w:t xml:space="preserve">en comparación </w:t>
      </w:r>
      <w:r w:rsidR="00E92038">
        <w:rPr>
          <w:rFonts w:ascii="gobCL" w:eastAsiaTheme="minorEastAsia" w:hAnsi="gobCL" w:cstheme="minorBidi"/>
          <w:spacing w:val="6"/>
          <w:sz w:val="22"/>
          <w:szCs w:val="22"/>
          <w:lang w:eastAsia="ja-JP"/>
        </w:rPr>
        <w:t xml:space="preserve">con 95% de </w:t>
      </w:r>
      <w:r w:rsidR="008547A7" w:rsidRPr="009C3926">
        <w:rPr>
          <w:rFonts w:ascii="gobCL" w:eastAsiaTheme="minorEastAsia" w:hAnsi="gobCL" w:cstheme="minorBidi"/>
          <w:spacing w:val="6"/>
          <w:sz w:val="22"/>
          <w:szCs w:val="22"/>
          <w:lang w:eastAsia="ja-JP"/>
        </w:rPr>
        <w:t>las mejores</w:t>
      </w:r>
      <w:r w:rsidR="004321F1" w:rsidRPr="009C3926">
        <w:rPr>
          <w:rFonts w:ascii="gobCL" w:eastAsiaTheme="minorEastAsia" w:hAnsi="gobCL" w:cstheme="minorBidi"/>
          <w:spacing w:val="6"/>
          <w:sz w:val="22"/>
          <w:szCs w:val="22"/>
          <w:lang w:eastAsia="ja-JP"/>
        </w:rPr>
        <w:t xml:space="preserve"> faenas</w:t>
      </w:r>
      <w:r w:rsidR="008547A7" w:rsidRPr="009C3926">
        <w:rPr>
          <w:rFonts w:ascii="gobCL" w:eastAsiaTheme="minorEastAsia" w:hAnsi="gobCL" w:cstheme="minorBidi"/>
          <w:spacing w:val="6"/>
          <w:sz w:val="22"/>
          <w:szCs w:val="22"/>
          <w:lang w:eastAsia="ja-JP"/>
        </w:rPr>
        <w:t xml:space="preserve"> internacionales</w:t>
      </w:r>
      <w:r w:rsidR="004321F1" w:rsidRPr="009C3926">
        <w:rPr>
          <w:rFonts w:ascii="gobCL" w:eastAsiaTheme="minorEastAsia" w:hAnsi="gobCL" w:cstheme="minorBidi"/>
          <w:spacing w:val="6"/>
          <w:sz w:val="22"/>
          <w:szCs w:val="22"/>
          <w:lang w:eastAsia="ja-JP"/>
        </w:rPr>
        <w:t>. Sin embargo</w:t>
      </w:r>
      <w:r w:rsidR="00E01F8B" w:rsidRPr="009C3926">
        <w:rPr>
          <w:rFonts w:ascii="gobCL" w:eastAsiaTheme="minorEastAsia" w:hAnsi="gobCL" w:cstheme="minorBidi"/>
          <w:spacing w:val="6"/>
          <w:sz w:val="22"/>
          <w:szCs w:val="22"/>
          <w:lang w:eastAsia="ja-JP"/>
        </w:rPr>
        <w:t>,</w:t>
      </w:r>
      <w:r w:rsidR="004321F1" w:rsidRPr="009C3926">
        <w:rPr>
          <w:rFonts w:ascii="gobCL" w:eastAsiaTheme="minorEastAsia" w:hAnsi="gobCL" w:cstheme="minorBidi"/>
          <w:spacing w:val="6"/>
          <w:sz w:val="22"/>
          <w:szCs w:val="22"/>
          <w:lang w:eastAsia="ja-JP"/>
        </w:rPr>
        <w:t xml:space="preserve"> este promedio esconde una importante heterogeneidad: La mejor faena nacional opera el </w:t>
      </w:r>
      <w:r w:rsidR="00E92038">
        <w:rPr>
          <w:rFonts w:ascii="gobCL" w:eastAsiaTheme="minorEastAsia" w:hAnsi="gobCL" w:cstheme="minorBidi"/>
          <w:spacing w:val="6"/>
          <w:sz w:val="22"/>
          <w:szCs w:val="22"/>
          <w:lang w:eastAsia="ja-JP"/>
        </w:rPr>
        <w:t>93%</w:t>
      </w:r>
      <w:r w:rsidR="00A24463" w:rsidRPr="009C3926">
        <w:rPr>
          <w:rFonts w:ascii="gobCL" w:eastAsiaTheme="minorEastAsia" w:hAnsi="gobCL" w:cstheme="minorBidi"/>
          <w:spacing w:val="6"/>
          <w:sz w:val="22"/>
          <w:szCs w:val="22"/>
          <w:lang w:eastAsia="ja-JP"/>
        </w:rPr>
        <w:t xml:space="preserve"> </w:t>
      </w:r>
      <w:r w:rsidR="004321F1" w:rsidRPr="009C3926">
        <w:rPr>
          <w:rFonts w:ascii="gobCL" w:eastAsiaTheme="minorEastAsia" w:hAnsi="gobCL" w:cstheme="minorBidi"/>
          <w:spacing w:val="6"/>
          <w:sz w:val="22"/>
          <w:szCs w:val="22"/>
          <w:lang w:eastAsia="ja-JP"/>
        </w:rPr>
        <w:t xml:space="preserve">del tiempo </w:t>
      </w:r>
      <w:r w:rsidR="00E92038">
        <w:rPr>
          <w:rFonts w:ascii="gobCL" w:eastAsiaTheme="minorEastAsia" w:hAnsi="gobCL" w:cstheme="minorBidi"/>
          <w:spacing w:val="6"/>
          <w:sz w:val="22"/>
          <w:szCs w:val="22"/>
          <w:lang w:eastAsia="ja-JP"/>
        </w:rPr>
        <w:t xml:space="preserve">calendario mientras que la peor opera </w:t>
      </w:r>
      <w:r w:rsidR="00E01F8B" w:rsidRPr="009C3926">
        <w:rPr>
          <w:rFonts w:ascii="gobCL" w:eastAsiaTheme="minorEastAsia" w:hAnsi="gobCL" w:cstheme="minorBidi"/>
          <w:spacing w:val="6"/>
          <w:sz w:val="22"/>
          <w:szCs w:val="22"/>
          <w:lang w:eastAsia="ja-JP"/>
        </w:rPr>
        <w:t>un</w:t>
      </w:r>
      <w:r w:rsidR="00E92038">
        <w:rPr>
          <w:rFonts w:ascii="gobCL" w:eastAsiaTheme="minorEastAsia" w:hAnsi="gobCL" w:cstheme="minorBidi"/>
          <w:spacing w:val="6"/>
          <w:sz w:val="22"/>
          <w:szCs w:val="22"/>
          <w:lang w:eastAsia="ja-JP"/>
        </w:rPr>
        <w:t xml:space="preserve"> 74</w:t>
      </w:r>
      <w:r w:rsidR="008547A7" w:rsidRPr="009C3926">
        <w:rPr>
          <w:rFonts w:ascii="gobCL" w:eastAsiaTheme="minorEastAsia" w:hAnsi="gobCL" w:cstheme="minorBidi"/>
          <w:spacing w:val="6"/>
          <w:sz w:val="22"/>
          <w:szCs w:val="22"/>
          <w:lang w:eastAsia="ja-JP"/>
        </w:rPr>
        <w:t>%.</w:t>
      </w:r>
      <w:r w:rsidR="00A24463" w:rsidRPr="009C3926" w:rsidDel="00A24463">
        <w:rPr>
          <w:rFonts w:ascii="gobCL" w:eastAsiaTheme="minorEastAsia" w:hAnsi="gobCL" w:cstheme="minorBidi"/>
          <w:spacing w:val="6"/>
          <w:sz w:val="22"/>
          <w:szCs w:val="22"/>
          <w:lang w:eastAsia="ja-JP"/>
        </w:rPr>
        <w:t xml:space="preserve"> </w:t>
      </w:r>
      <w:r w:rsidR="008547A7" w:rsidRPr="009C3926">
        <w:rPr>
          <w:rFonts w:ascii="gobCL" w:eastAsiaTheme="minorEastAsia" w:hAnsi="gobCL" w:cstheme="minorBidi"/>
          <w:spacing w:val="6"/>
          <w:sz w:val="22"/>
          <w:szCs w:val="22"/>
          <w:lang w:eastAsia="ja-JP"/>
        </w:rPr>
        <w:t>Ta</w:t>
      </w:r>
      <w:r w:rsidR="00616DE4" w:rsidRPr="009C3926">
        <w:rPr>
          <w:rFonts w:ascii="gobCL" w:eastAsiaTheme="minorEastAsia" w:hAnsi="gobCL" w:cstheme="minorBidi"/>
          <w:spacing w:val="6"/>
          <w:sz w:val="22"/>
          <w:szCs w:val="22"/>
          <w:lang w:eastAsia="ja-JP"/>
        </w:rPr>
        <w:t>mbién se</w:t>
      </w:r>
      <w:r w:rsidR="00616DE4" w:rsidRPr="00616DE4">
        <w:rPr>
          <w:rFonts w:ascii="gobCL" w:eastAsiaTheme="minorEastAsia" w:hAnsi="gobCL" w:cstheme="minorBidi"/>
          <w:spacing w:val="6"/>
          <w:sz w:val="22"/>
          <w:szCs w:val="22"/>
          <w:lang w:eastAsia="ja-JP"/>
        </w:rPr>
        <w:t xml:space="preserve"> observa una importante brecha en la productividad laboral</w:t>
      </w:r>
      <w:r w:rsidR="00873E88">
        <w:rPr>
          <w:rFonts w:ascii="gobCL" w:eastAsiaTheme="minorEastAsia" w:hAnsi="gobCL" w:cstheme="minorBidi"/>
          <w:spacing w:val="6"/>
          <w:sz w:val="22"/>
          <w:szCs w:val="22"/>
          <w:lang w:eastAsia="ja-JP"/>
        </w:rPr>
        <w:t xml:space="preserve"> chilena</w:t>
      </w:r>
      <w:r w:rsidR="00E12E74">
        <w:rPr>
          <w:rFonts w:ascii="gobCL" w:eastAsiaTheme="minorEastAsia" w:hAnsi="gobCL" w:cstheme="minorBidi"/>
          <w:spacing w:val="6"/>
          <w:sz w:val="22"/>
          <w:szCs w:val="22"/>
          <w:lang w:eastAsia="ja-JP"/>
        </w:rPr>
        <w:t>.</w:t>
      </w:r>
      <w:r w:rsidR="00873E88">
        <w:rPr>
          <w:rFonts w:ascii="gobCL" w:eastAsiaTheme="minorEastAsia" w:hAnsi="gobCL" w:cstheme="minorBidi"/>
          <w:spacing w:val="6"/>
          <w:sz w:val="22"/>
          <w:szCs w:val="22"/>
          <w:lang w:eastAsia="ja-JP"/>
        </w:rPr>
        <w:t xml:space="preserve"> L</w:t>
      </w:r>
      <w:r w:rsidR="00616DE4" w:rsidRPr="00616DE4">
        <w:rPr>
          <w:rFonts w:ascii="gobCL" w:eastAsiaTheme="minorEastAsia" w:hAnsi="gobCL" w:cstheme="minorBidi"/>
          <w:spacing w:val="6"/>
          <w:sz w:val="22"/>
          <w:szCs w:val="22"/>
          <w:lang w:eastAsia="ja-JP"/>
        </w:rPr>
        <w:t xml:space="preserve">a faena nacional más eficiente de la muestra requiere 43 horas hombre para mover 1.000 toneladas de material, mientras que la menos eficiente requiere 115 horas hombre. </w:t>
      </w:r>
      <w:r w:rsidR="00873E88">
        <w:rPr>
          <w:rFonts w:ascii="gobCL" w:eastAsiaTheme="minorEastAsia" w:hAnsi="gobCL" w:cstheme="minorBidi"/>
          <w:spacing w:val="6"/>
          <w:sz w:val="22"/>
          <w:szCs w:val="22"/>
          <w:lang w:eastAsia="ja-JP"/>
        </w:rPr>
        <w:t>En cambio, el</w:t>
      </w:r>
      <w:r w:rsidR="00616DE4" w:rsidRPr="00616DE4">
        <w:rPr>
          <w:rFonts w:ascii="gobCL" w:eastAsiaTheme="minorEastAsia" w:hAnsi="gobCL" w:cstheme="minorBidi"/>
          <w:spacing w:val="6"/>
          <w:sz w:val="22"/>
          <w:szCs w:val="22"/>
          <w:lang w:eastAsia="ja-JP"/>
        </w:rPr>
        <w:t xml:space="preserve"> promedio </w:t>
      </w:r>
      <w:r w:rsidR="00873E88">
        <w:rPr>
          <w:rFonts w:ascii="gobCL" w:eastAsiaTheme="minorEastAsia" w:hAnsi="gobCL" w:cstheme="minorBidi"/>
          <w:spacing w:val="6"/>
          <w:sz w:val="22"/>
          <w:szCs w:val="22"/>
          <w:lang w:eastAsia="ja-JP"/>
        </w:rPr>
        <w:t xml:space="preserve">de las mejores faenas internacionales </w:t>
      </w:r>
      <w:r w:rsidR="00616DE4" w:rsidRPr="00616DE4">
        <w:rPr>
          <w:rFonts w:ascii="gobCL" w:eastAsiaTheme="minorEastAsia" w:hAnsi="gobCL" w:cstheme="minorBidi"/>
          <w:spacing w:val="6"/>
          <w:sz w:val="22"/>
          <w:szCs w:val="22"/>
          <w:lang w:eastAsia="ja-JP"/>
        </w:rPr>
        <w:t xml:space="preserve"> requiere </w:t>
      </w:r>
      <w:r w:rsidR="00873E88">
        <w:rPr>
          <w:rFonts w:ascii="gobCL" w:eastAsiaTheme="minorEastAsia" w:hAnsi="gobCL" w:cstheme="minorBidi"/>
          <w:spacing w:val="6"/>
          <w:sz w:val="22"/>
          <w:szCs w:val="22"/>
          <w:lang w:eastAsia="ja-JP"/>
        </w:rPr>
        <w:t xml:space="preserve">apenas </w:t>
      </w:r>
      <w:r w:rsidR="00616DE4" w:rsidRPr="00616DE4">
        <w:rPr>
          <w:rFonts w:ascii="gobCL" w:eastAsiaTheme="minorEastAsia" w:hAnsi="gobCL" w:cstheme="minorBidi"/>
          <w:spacing w:val="6"/>
          <w:sz w:val="22"/>
          <w:szCs w:val="22"/>
          <w:lang w:eastAsia="ja-JP"/>
        </w:rPr>
        <w:t>30 horas hombre para realizar similar labor”, explicó.</w:t>
      </w:r>
    </w:p>
    <w:p w:rsidR="00057E32" w:rsidRDefault="00057E32" w:rsidP="00AB52C0">
      <w:pPr>
        <w:spacing w:line="276" w:lineRule="auto"/>
        <w:jc w:val="both"/>
        <w:rPr>
          <w:rFonts w:ascii="gobCL" w:eastAsiaTheme="minorEastAsia" w:hAnsi="gobCL"/>
          <w:b/>
          <w:i/>
          <w:spacing w:val="6"/>
          <w:lang w:eastAsia="ja-JP"/>
        </w:rPr>
      </w:pPr>
    </w:p>
    <w:p w:rsidR="00057E32" w:rsidRDefault="00057E32" w:rsidP="00AB52C0">
      <w:pPr>
        <w:spacing w:line="276" w:lineRule="auto"/>
        <w:jc w:val="both"/>
        <w:rPr>
          <w:rFonts w:ascii="gobCL" w:eastAsiaTheme="minorEastAsia" w:hAnsi="gobCL"/>
          <w:b/>
          <w:i/>
          <w:spacing w:val="6"/>
          <w:lang w:eastAsia="ja-JP"/>
        </w:rPr>
      </w:pPr>
    </w:p>
    <w:p w:rsidR="00A847F6" w:rsidRPr="00FF1DCA" w:rsidRDefault="00F521F6" w:rsidP="00AB52C0">
      <w:pPr>
        <w:spacing w:line="276" w:lineRule="auto"/>
        <w:jc w:val="both"/>
        <w:rPr>
          <w:rFonts w:ascii="gobCL" w:eastAsiaTheme="minorEastAsia" w:hAnsi="gobCL"/>
          <w:b/>
          <w:i/>
          <w:spacing w:val="6"/>
          <w:lang w:eastAsia="ja-JP"/>
        </w:rPr>
      </w:pPr>
      <w:r w:rsidRPr="00FF1DCA">
        <w:rPr>
          <w:rFonts w:ascii="gobCL" w:eastAsiaTheme="minorEastAsia" w:hAnsi="gobCL"/>
          <w:b/>
          <w:i/>
          <w:spacing w:val="6"/>
          <w:lang w:eastAsia="ja-JP"/>
        </w:rPr>
        <w:t>Recomendaciones de</w:t>
      </w:r>
      <w:r w:rsidR="00A847F6" w:rsidRPr="00FF1DCA">
        <w:rPr>
          <w:rFonts w:ascii="gobCL" w:eastAsiaTheme="minorEastAsia" w:hAnsi="gobCL"/>
          <w:b/>
          <w:i/>
          <w:spacing w:val="6"/>
          <w:lang w:eastAsia="ja-JP"/>
        </w:rPr>
        <w:t xml:space="preserve"> política pública (un “bien público”)</w:t>
      </w:r>
    </w:p>
    <w:p w:rsidR="00A847F6"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spacing w:val="6"/>
          <w:lang w:eastAsia="ja-JP"/>
        </w:rPr>
        <w:t xml:space="preserve">Este conjunto de recomendaciones se refiere a seis grandes áreas de acción donde la intervención del gobierno es requerida, </w:t>
      </w:r>
      <w:r w:rsidR="00AB52C0" w:rsidRPr="00FF1DCA">
        <w:rPr>
          <w:rFonts w:ascii="gobCL" w:eastAsiaTheme="minorEastAsia" w:hAnsi="gobCL"/>
          <w:spacing w:val="6"/>
          <w:lang w:eastAsia="ja-JP"/>
        </w:rPr>
        <w:t xml:space="preserve"> ya sea </w:t>
      </w:r>
      <w:r w:rsidRPr="00FF1DCA">
        <w:rPr>
          <w:rFonts w:ascii="gobCL" w:eastAsiaTheme="minorEastAsia" w:hAnsi="gobCL"/>
          <w:spacing w:val="6"/>
          <w:lang w:eastAsia="ja-JP"/>
        </w:rPr>
        <w:t>mejoras de gestión</w:t>
      </w:r>
      <w:r w:rsidR="006E751C" w:rsidRPr="00FF1DCA">
        <w:rPr>
          <w:rFonts w:ascii="gobCL" w:eastAsiaTheme="minorEastAsia" w:hAnsi="gobCL"/>
          <w:spacing w:val="6"/>
          <w:lang w:eastAsia="ja-JP"/>
        </w:rPr>
        <w:t xml:space="preserve"> o modificación de la normativa:</w:t>
      </w:r>
    </w:p>
    <w:p w:rsidR="00255119" w:rsidRPr="00FF1DCA" w:rsidRDefault="00255119" w:rsidP="00AB52C0">
      <w:pPr>
        <w:spacing w:after="0" w:line="240" w:lineRule="auto"/>
        <w:jc w:val="both"/>
        <w:rPr>
          <w:rFonts w:ascii="gobCL" w:eastAsiaTheme="minorEastAsia" w:hAnsi="gobCL"/>
          <w:b/>
          <w:spacing w:val="6"/>
          <w:lang w:eastAsia="ja-JP"/>
        </w:rPr>
      </w:pPr>
    </w:p>
    <w:p w:rsidR="00AB52C0"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Primero, mejorar el largo y engorroso proceso de aprobación o rechazo de grandes proyectos.</w:t>
      </w:r>
      <w:r w:rsidRPr="00FF1DCA">
        <w:rPr>
          <w:rFonts w:ascii="gobCL" w:eastAsiaTheme="minorEastAsia" w:hAnsi="gobCL"/>
          <w:spacing w:val="6"/>
          <w:lang w:eastAsia="ja-JP"/>
        </w:rPr>
        <w:t xml:space="preserve"> Se debe acortar el proceso</w:t>
      </w:r>
      <w:r w:rsidR="00873E88">
        <w:rPr>
          <w:rFonts w:ascii="gobCL" w:eastAsiaTheme="minorEastAsia" w:hAnsi="gobCL"/>
          <w:spacing w:val="6"/>
          <w:lang w:eastAsia="ja-JP"/>
        </w:rPr>
        <w:t xml:space="preserve"> (a veces de 5 o más años de duración)</w:t>
      </w:r>
      <w:r w:rsidRPr="00FF1DCA">
        <w:rPr>
          <w:rFonts w:ascii="gobCL" w:eastAsiaTheme="minorEastAsia" w:hAnsi="gobCL"/>
          <w:spacing w:val="6"/>
          <w:lang w:eastAsia="ja-JP"/>
        </w:rPr>
        <w:t xml:space="preserve">, teniendo por meta los tres años. </w:t>
      </w:r>
      <w:r w:rsidR="00873E88">
        <w:rPr>
          <w:rFonts w:ascii="gobCL" w:eastAsiaTheme="minorEastAsia" w:hAnsi="gobCL"/>
          <w:spacing w:val="6"/>
          <w:lang w:eastAsia="ja-JP"/>
        </w:rPr>
        <w:t>Ello requiere simplificar</w:t>
      </w:r>
      <w:r w:rsidR="007044CB">
        <w:rPr>
          <w:rFonts w:ascii="gobCL" w:eastAsiaTheme="minorEastAsia" w:hAnsi="gobCL"/>
          <w:spacing w:val="6"/>
          <w:lang w:eastAsia="ja-JP"/>
        </w:rPr>
        <w:t xml:space="preserve"> y reducir trámites</w:t>
      </w:r>
      <w:r w:rsidR="008547A7">
        <w:rPr>
          <w:rFonts w:ascii="gobCL" w:eastAsiaTheme="minorEastAsia" w:hAnsi="gobCL"/>
          <w:spacing w:val="6"/>
          <w:lang w:eastAsia="ja-JP"/>
        </w:rPr>
        <w:t xml:space="preserve"> e</w:t>
      </w:r>
      <w:r w:rsidR="007044CB">
        <w:rPr>
          <w:rFonts w:ascii="gobCL" w:eastAsiaTheme="minorEastAsia" w:hAnsi="gobCL"/>
          <w:spacing w:val="6"/>
          <w:lang w:eastAsia="ja-JP"/>
        </w:rPr>
        <w:t xml:space="preserve"> inercias burocráticas y agilizar el proceso.</w:t>
      </w:r>
      <w:r w:rsidR="00057E32">
        <w:rPr>
          <w:rFonts w:ascii="gobCL" w:eastAsiaTheme="minorEastAsia" w:hAnsi="gobCL"/>
          <w:spacing w:val="6"/>
          <w:lang w:eastAsia="ja-JP"/>
        </w:rPr>
        <w:t xml:space="preserve"> </w:t>
      </w:r>
      <w:r w:rsidR="007044CB">
        <w:rPr>
          <w:rFonts w:ascii="gobCL" w:eastAsiaTheme="minorEastAsia" w:hAnsi="gobCL"/>
          <w:spacing w:val="6"/>
          <w:lang w:eastAsia="ja-JP"/>
        </w:rPr>
        <w:t>Asimismo</w:t>
      </w:r>
      <w:r w:rsidR="00D1309C">
        <w:rPr>
          <w:rFonts w:ascii="gobCL" w:eastAsiaTheme="minorEastAsia" w:hAnsi="gobCL"/>
          <w:spacing w:val="6"/>
          <w:lang w:eastAsia="ja-JP"/>
        </w:rPr>
        <w:t>,</w:t>
      </w:r>
      <w:r w:rsidR="00057E32">
        <w:rPr>
          <w:rFonts w:ascii="gobCL" w:eastAsiaTheme="minorEastAsia" w:hAnsi="gobCL"/>
          <w:spacing w:val="6"/>
          <w:lang w:eastAsia="ja-JP"/>
        </w:rPr>
        <w:t xml:space="preserve"> </w:t>
      </w:r>
      <w:r w:rsidR="007044CB">
        <w:rPr>
          <w:rFonts w:ascii="gobCL" w:eastAsiaTheme="minorEastAsia" w:hAnsi="gobCL"/>
          <w:spacing w:val="6"/>
          <w:lang w:eastAsia="ja-JP"/>
        </w:rPr>
        <w:t xml:space="preserve">habría que acortar los tiempos para aprobar concesiones, que en el caso </w:t>
      </w:r>
      <w:r w:rsidR="00616DE4" w:rsidRPr="00616DE4">
        <w:rPr>
          <w:rFonts w:ascii="gobCL" w:eastAsiaTheme="minorEastAsia" w:hAnsi="gobCL"/>
          <w:spacing w:val="6"/>
          <w:lang w:eastAsia="ja-JP"/>
        </w:rPr>
        <w:t>de exploración toman hasta más de 8 meses y las de explotación hasta más de dos años”, detalló.</w:t>
      </w:r>
    </w:p>
    <w:p w:rsidR="00AB52C0" w:rsidRPr="00FF1DCA" w:rsidRDefault="00AB52C0" w:rsidP="00AB52C0">
      <w:pPr>
        <w:spacing w:after="0" w:line="240" w:lineRule="auto"/>
        <w:jc w:val="both"/>
        <w:rPr>
          <w:rFonts w:ascii="gobCL" w:eastAsiaTheme="minorEastAsia" w:hAnsi="gobCL"/>
          <w:b/>
          <w:spacing w:val="6"/>
          <w:lang w:eastAsia="ja-JP"/>
        </w:rPr>
      </w:pPr>
    </w:p>
    <w:p w:rsidR="00F34ED0"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Segundo, potenciar nuestro desarrollo futuro</w:t>
      </w:r>
      <w:r w:rsidR="00057E32">
        <w:rPr>
          <w:rFonts w:ascii="gobCL" w:eastAsiaTheme="minorEastAsia" w:hAnsi="gobCL"/>
          <w:b/>
          <w:spacing w:val="6"/>
          <w:lang w:eastAsia="ja-JP"/>
        </w:rPr>
        <w:t xml:space="preserve"> </w:t>
      </w:r>
      <w:r w:rsidRPr="00FF1DCA">
        <w:rPr>
          <w:rFonts w:ascii="gobCL" w:eastAsiaTheme="minorEastAsia" w:hAnsi="gobCL"/>
          <w:b/>
          <w:spacing w:val="6"/>
          <w:lang w:eastAsia="ja-JP"/>
        </w:rPr>
        <w:t xml:space="preserve">y la sostenibilidad </w:t>
      </w:r>
      <w:r w:rsidR="008547A7">
        <w:rPr>
          <w:rFonts w:ascii="gobCL" w:eastAsiaTheme="minorEastAsia" w:hAnsi="gobCL"/>
          <w:b/>
          <w:spacing w:val="6"/>
          <w:lang w:eastAsia="ja-JP"/>
        </w:rPr>
        <w:t>de nuestra participación</w:t>
      </w:r>
      <w:r w:rsidRPr="00FF1DCA">
        <w:rPr>
          <w:rFonts w:ascii="gobCL" w:eastAsiaTheme="minorEastAsia" w:hAnsi="gobCL"/>
          <w:b/>
          <w:spacing w:val="6"/>
          <w:lang w:eastAsia="ja-JP"/>
        </w:rPr>
        <w:t xml:space="preserve"> en el mercado del cobre</w:t>
      </w:r>
      <w:r w:rsidRPr="00FF1DCA">
        <w:rPr>
          <w:rFonts w:ascii="gobCL" w:eastAsiaTheme="minorEastAsia" w:hAnsi="gobCL"/>
          <w:spacing w:val="6"/>
          <w:lang w:eastAsia="ja-JP"/>
        </w:rPr>
        <w:t>. El</w:t>
      </w:r>
      <w:r w:rsidR="007044CB">
        <w:rPr>
          <w:rFonts w:ascii="gobCL" w:eastAsiaTheme="minorEastAsia" w:hAnsi="gobCL"/>
          <w:spacing w:val="6"/>
          <w:lang w:eastAsia="ja-JP"/>
        </w:rPr>
        <w:t>lo requiere elevar la inversión en exploración</w:t>
      </w:r>
      <w:r w:rsidR="00AF5D19">
        <w:rPr>
          <w:rFonts w:ascii="gobCL" w:eastAsiaTheme="minorEastAsia" w:hAnsi="gobCL"/>
          <w:spacing w:val="6"/>
          <w:lang w:eastAsia="ja-JP"/>
        </w:rPr>
        <w:t xml:space="preserve"> concordante con el peso chileno en la producción y reservas mundiales de cobre</w:t>
      </w:r>
      <w:r w:rsidR="007044CB">
        <w:rPr>
          <w:rFonts w:ascii="gobCL" w:eastAsiaTheme="minorEastAsia" w:hAnsi="gobCL"/>
          <w:spacing w:val="6"/>
          <w:lang w:eastAsia="ja-JP"/>
        </w:rPr>
        <w:t xml:space="preserve">. </w:t>
      </w:r>
      <w:r w:rsidR="00AF5D19">
        <w:rPr>
          <w:rFonts w:ascii="gobCL" w:eastAsiaTheme="minorEastAsia" w:hAnsi="gobCL"/>
          <w:spacing w:val="6"/>
          <w:lang w:eastAsia="ja-JP"/>
        </w:rPr>
        <w:t xml:space="preserve">Desafortunadamente, actualmente estamos lejos de esto. </w:t>
      </w:r>
      <w:r w:rsidR="007044CB">
        <w:rPr>
          <w:rFonts w:ascii="gobCL" w:eastAsiaTheme="minorEastAsia" w:hAnsi="gobCL"/>
          <w:spacing w:val="6"/>
          <w:lang w:eastAsia="ja-JP"/>
        </w:rPr>
        <w:t xml:space="preserve">En efecto, Chile tiene </w:t>
      </w:r>
      <w:r w:rsidR="00AF5D19">
        <w:rPr>
          <w:rFonts w:ascii="gobCL" w:eastAsiaTheme="minorEastAsia" w:hAnsi="gobCL"/>
          <w:spacing w:val="6"/>
          <w:lang w:eastAsia="ja-JP"/>
        </w:rPr>
        <w:t xml:space="preserve">apenas </w:t>
      </w:r>
      <w:r w:rsidR="007044CB">
        <w:rPr>
          <w:rFonts w:ascii="gobCL" w:eastAsiaTheme="minorEastAsia" w:hAnsi="gobCL"/>
          <w:spacing w:val="6"/>
          <w:lang w:eastAsia="ja-JP"/>
        </w:rPr>
        <w:t xml:space="preserve">un 16% del gasto en exploración mientras tiene cerca de 30% </w:t>
      </w:r>
      <w:r w:rsidR="00AF5D19">
        <w:rPr>
          <w:rFonts w:ascii="gobCL" w:eastAsiaTheme="minorEastAsia" w:hAnsi="gobCL"/>
          <w:spacing w:val="6"/>
          <w:lang w:eastAsia="ja-JP"/>
        </w:rPr>
        <w:t xml:space="preserve">tanto </w:t>
      </w:r>
      <w:r w:rsidR="007044CB">
        <w:rPr>
          <w:rFonts w:ascii="gobCL" w:eastAsiaTheme="minorEastAsia" w:hAnsi="gobCL"/>
          <w:spacing w:val="6"/>
          <w:lang w:eastAsia="ja-JP"/>
        </w:rPr>
        <w:t>de la producción como de las reservas mundiales</w:t>
      </w:r>
      <w:r w:rsidR="00DD1A34">
        <w:rPr>
          <w:rFonts w:ascii="gobCL" w:eastAsiaTheme="minorEastAsia" w:hAnsi="gobCL"/>
          <w:spacing w:val="6"/>
          <w:lang w:eastAsia="ja-JP"/>
        </w:rPr>
        <w:t xml:space="preserve"> </w:t>
      </w:r>
      <w:r w:rsidR="00AF5D19">
        <w:rPr>
          <w:rFonts w:ascii="gobCL" w:eastAsiaTheme="minorEastAsia" w:hAnsi="gobCL"/>
          <w:spacing w:val="6"/>
          <w:lang w:eastAsia="ja-JP"/>
        </w:rPr>
        <w:t xml:space="preserve">de cobre”, </w:t>
      </w:r>
      <w:r w:rsidR="00616DE4" w:rsidRPr="003D570F">
        <w:rPr>
          <w:rFonts w:ascii="gobCL" w:eastAsiaTheme="minorEastAsia" w:hAnsi="gobCL"/>
          <w:spacing w:val="6"/>
          <w:lang w:eastAsia="ja-JP"/>
        </w:rPr>
        <w:t>afirmó.</w:t>
      </w:r>
    </w:p>
    <w:p w:rsidR="00F34ED0" w:rsidRPr="00FF1DCA" w:rsidRDefault="00F34ED0" w:rsidP="00AB52C0">
      <w:pPr>
        <w:spacing w:after="0" w:line="240" w:lineRule="auto"/>
        <w:jc w:val="both"/>
        <w:rPr>
          <w:rFonts w:ascii="gobCL" w:eastAsiaTheme="minorEastAsia" w:hAnsi="gobCL"/>
          <w:spacing w:val="6"/>
          <w:lang w:eastAsia="ja-JP"/>
        </w:rPr>
      </w:pPr>
    </w:p>
    <w:p w:rsidR="00A847F6"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Tercero, facilitar la continuidad operacional a través de acuerdos entre empresas y trabajadores.</w:t>
      </w:r>
      <w:r w:rsidR="00057E32">
        <w:rPr>
          <w:rFonts w:ascii="gobCL" w:eastAsiaTheme="minorEastAsia" w:hAnsi="gobCL"/>
          <w:b/>
          <w:spacing w:val="6"/>
          <w:lang w:eastAsia="ja-JP"/>
        </w:rPr>
        <w:t xml:space="preserve"> </w:t>
      </w:r>
      <w:r w:rsidRPr="00FF1DCA">
        <w:rPr>
          <w:rFonts w:ascii="gobCL" w:eastAsiaTheme="minorEastAsia" w:hAnsi="gobCL"/>
          <w:spacing w:val="6"/>
          <w:lang w:eastAsia="ja-JP"/>
        </w:rPr>
        <w:t xml:space="preserve">Se propone restablecer la opción de </w:t>
      </w:r>
      <w:r w:rsidR="00D1309C">
        <w:rPr>
          <w:rFonts w:ascii="gobCL" w:eastAsiaTheme="minorEastAsia" w:hAnsi="gobCL"/>
          <w:spacing w:val="6"/>
          <w:lang w:eastAsia="ja-JP"/>
        </w:rPr>
        <w:t>‘</w:t>
      </w:r>
      <w:r w:rsidRPr="00FF1DCA">
        <w:rPr>
          <w:rFonts w:ascii="gobCL" w:eastAsiaTheme="minorEastAsia" w:hAnsi="gobCL"/>
          <w:spacing w:val="6"/>
          <w:lang w:eastAsia="ja-JP"/>
        </w:rPr>
        <w:t>pactos de adaptabilidad</w:t>
      </w:r>
      <w:r w:rsidR="00D1309C">
        <w:rPr>
          <w:rFonts w:ascii="gobCL" w:eastAsiaTheme="minorEastAsia" w:hAnsi="gobCL"/>
          <w:spacing w:val="6"/>
          <w:lang w:eastAsia="ja-JP"/>
        </w:rPr>
        <w:t>’</w:t>
      </w:r>
      <w:r w:rsidRPr="00FF1DCA">
        <w:rPr>
          <w:rFonts w:ascii="gobCL" w:eastAsiaTheme="minorEastAsia" w:hAnsi="gobCL"/>
          <w:spacing w:val="6"/>
          <w:lang w:eastAsia="ja-JP"/>
        </w:rPr>
        <w:t xml:space="preserve"> sobre la que hubo acuerdo mayoritario en el Congreso en el contexto de la reciente reforma laboral,</w:t>
      </w:r>
      <w:r w:rsidR="00AF5D19">
        <w:rPr>
          <w:rFonts w:ascii="gobCL" w:eastAsiaTheme="minorEastAsia" w:hAnsi="gobCL"/>
          <w:spacing w:val="6"/>
          <w:lang w:eastAsia="ja-JP"/>
        </w:rPr>
        <w:t xml:space="preserve"> lo que perm</w:t>
      </w:r>
      <w:r w:rsidR="00057E32">
        <w:rPr>
          <w:rFonts w:ascii="gobCL" w:eastAsiaTheme="minorEastAsia" w:hAnsi="gobCL"/>
          <w:spacing w:val="6"/>
          <w:lang w:eastAsia="ja-JP"/>
        </w:rPr>
        <w:t>i</w:t>
      </w:r>
      <w:r w:rsidR="00AF5D19">
        <w:rPr>
          <w:rFonts w:ascii="gobCL" w:eastAsiaTheme="minorEastAsia" w:hAnsi="gobCL"/>
          <w:spacing w:val="6"/>
          <w:lang w:eastAsia="ja-JP"/>
        </w:rPr>
        <w:t>te que el sindicato y las empresas puedan negociar y concordar temas como los turnos, las jornadas, las jornadas activas y pasivas entre otras. Ade</w:t>
      </w:r>
      <w:r w:rsidR="00D1309C">
        <w:rPr>
          <w:rFonts w:ascii="gobCL" w:eastAsiaTheme="minorEastAsia" w:hAnsi="gobCL"/>
          <w:spacing w:val="6"/>
          <w:lang w:eastAsia="ja-JP"/>
        </w:rPr>
        <w:t>má</w:t>
      </w:r>
      <w:r w:rsidR="00AF5D19">
        <w:rPr>
          <w:rFonts w:ascii="gobCL" w:eastAsiaTheme="minorEastAsia" w:hAnsi="gobCL"/>
          <w:spacing w:val="6"/>
          <w:lang w:eastAsia="ja-JP"/>
        </w:rPr>
        <w:t>s</w:t>
      </w:r>
      <w:r w:rsidR="00D1309C">
        <w:rPr>
          <w:rFonts w:ascii="gobCL" w:eastAsiaTheme="minorEastAsia" w:hAnsi="gobCL"/>
          <w:spacing w:val="6"/>
          <w:lang w:eastAsia="ja-JP"/>
        </w:rPr>
        <w:t>,</w:t>
      </w:r>
      <w:r w:rsidR="00AF5D19">
        <w:rPr>
          <w:rFonts w:ascii="gobCL" w:eastAsiaTheme="minorEastAsia" w:hAnsi="gobCL"/>
          <w:spacing w:val="6"/>
          <w:lang w:eastAsia="ja-JP"/>
        </w:rPr>
        <w:t xml:space="preserve"> se propone </w:t>
      </w:r>
      <w:r w:rsidR="005B4E92">
        <w:rPr>
          <w:rFonts w:ascii="gobCL" w:eastAsiaTheme="minorEastAsia" w:hAnsi="gobCL"/>
          <w:spacing w:val="6"/>
          <w:lang w:eastAsia="ja-JP"/>
        </w:rPr>
        <w:t xml:space="preserve">que se pueda </w:t>
      </w:r>
      <w:r w:rsidRPr="00FF1DCA">
        <w:rPr>
          <w:rFonts w:ascii="gobCL" w:eastAsiaTheme="minorEastAsia" w:hAnsi="gobCL"/>
          <w:spacing w:val="6"/>
          <w:lang w:eastAsia="ja-JP"/>
        </w:rPr>
        <w:t xml:space="preserve">extender la posibilidad de jornadas extraordinarias </w:t>
      </w:r>
      <w:r w:rsidR="005B4E92">
        <w:rPr>
          <w:rFonts w:ascii="gobCL" w:eastAsiaTheme="minorEastAsia" w:hAnsi="gobCL"/>
          <w:spacing w:val="6"/>
          <w:lang w:eastAsia="ja-JP"/>
        </w:rPr>
        <w:t>tipo 4</w:t>
      </w:r>
      <w:r w:rsidR="008547A7">
        <w:rPr>
          <w:rFonts w:ascii="gobCL" w:eastAsiaTheme="minorEastAsia" w:hAnsi="gobCL"/>
          <w:spacing w:val="6"/>
          <w:lang w:eastAsia="ja-JP"/>
        </w:rPr>
        <w:t>x</w:t>
      </w:r>
      <w:r w:rsidR="005B4E92">
        <w:rPr>
          <w:rFonts w:ascii="gobCL" w:eastAsiaTheme="minorEastAsia" w:hAnsi="gobCL"/>
          <w:spacing w:val="6"/>
          <w:lang w:eastAsia="ja-JP"/>
        </w:rPr>
        <w:t>4 y 7</w:t>
      </w:r>
      <w:r w:rsidR="008547A7">
        <w:rPr>
          <w:rFonts w:ascii="gobCL" w:eastAsiaTheme="minorEastAsia" w:hAnsi="gobCL"/>
          <w:spacing w:val="6"/>
          <w:lang w:eastAsia="ja-JP"/>
        </w:rPr>
        <w:t>x</w:t>
      </w:r>
      <w:r w:rsidR="005B4E92">
        <w:rPr>
          <w:rFonts w:ascii="gobCL" w:eastAsiaTheme="minorEastAsia" w:hAnsi="gobCL"/>
          <w:spacing w:val="6"/>
          <w:lang w:eastAsia="ja-JP"/>
        </w:rPr>
        <w:t>7 con el s</w:t>
      </w:r>
      <w:r w:rsidR="00D1309C">
        <w:rPr>
          <w:rFonts w:ascii="gobCL" w:eastAsiaTheme="minorEastAsia" w:hAnsi="gobCL"/>
          <w:spacing w:val="6"/>
          <w:lang w:eastAsia="ja-JP"/>
        </w:rPr>
        <w:t>ó</w:t>
      </w:r>
      <w:r w:rsidR="005B4E92">
        <w:rPr>
          <w:rFonts w:ascii="gobCL" w:eastAsiaTheme="minorEastAsia" w:hAnsi="gobCL"/>
          <w:spacing w:val="6"/>
          <w:lang w:eastAsia="ja-JP"/>
        </w:rPr>
        <w:t xml:space="preserve">lo acuerdo de las partes </w:t>
      </w:r>
      <w:r w:rsidRPr="00FF1DCA">
        <w:rPr>
          <w:rFonts w:ascii="gobCL" w:eastAsiaTheme="minorEastAsia" w:hAnsi="gobCL"/>
          <w:spacing w:val="6"/>
          <w:lang w:eastAsia="ja-JP"/>
        </w:rPr>
        <w:t>sin requeri</w:t>
      </w:r>
      <w:r w:rsidR="005B4E92">
        <w:rPr>
          <w:rFonts w:ascii="gobCL" w:eastAsiaTheme="minorEastAsia" w:hAnsi="gobCL"/>
          <w:spacing w:val="6"/>
          <w:lang w:eastAsia="ja-JP"/>
        </w:rPr>
        <w:t xml:space="preserve">r </w:t>
      </w:r>
      <w:r w:rsidRPr="00FF1DCA">
        <w:rPr>
          <w:rFonts w:ascii="gobCL" w:eastAsiaTheme="minorEastAsia" w:hAnsi="gobCL"/>
          <w:spacing w:val="6"/>
          <w:lang w:eastAsia="ja-JP"/>
        </w:rPr>
        <w:t>aprobación por parte de la Dirección del Trabajo,</w:t>
      </w:r>
      <w:r w:rsidR="005B4E92">
        <w:rPr>
          <w:rFonts w:ascii="gobCL" w:eastAsiaTheme="minorEastAsia" w:hAnsi="gobCL"/>
          <w:spacing w:val="6"/>
          <w:lang w:eastAsia="ja-JP"/>
        </w:rPr>
        <w:t xml:space="preserve"> como</w:t>
      </w:r>
      <w:r w:rsidRPr="00FF1DCA">
        <w:rPr>
          <w:rFonts w:ascii="gobCL" w:eastAsiaTheme="minorEastAsia" w:hAnsi="gobCL"/>
          <w:spacing w:val="6"/>
          <w:lang w:eastAsia="ja-JP"/>
        </w:rPr>
        <w:t xml:space="preserve"> hoy </w:t>
      </w:r>
      <w:r w:rsidR="005B4E92">
        <w:rPr>
          <w:rFonts w:ascii="gobCL" w:eastAsiaTheme="minorEastAsia" w:hAnsi="gobCL"/>
          <w:spacing w:val="6"/>
          <w:lang w:eastAsia="ja-JP"/>
        </w:rPr>
        <w:t xml:space="preserve">es </w:t>
      </w:r>
      <w:r w:rsidRPr="00FF1DCA">
        <w:rPr>
          <w:rFonts w:ascii="gobCL" w:eastAsiaTheme="minorEastAsia" w:hAnsi="gobCL"/>
          <w:spacing w:val="6"/>
          <w:lang w:eastAsia="ja-JP"/>
        </w:rPr>
        <w:t>posible en jornadas 4x3</w:t>
      </w:r>
      <w:r w:rsidR="005B4E92">
        <w:rPr>
          <w:rFonts w:ascii="gobCL" w:eastAsiaTheme="minorEastAsia" w:hAnsi="gobCL"/>
          <w:spacing w:val="6"/>
          <w:lang w:eastAsia="ja-JP"/>
        </w:rPr>
        <w:t>.</w:t>
      </w:r>
    </w:p>
    <w:p w:rsidR="00F34ED0" w:rsidRPr="00FF1DCA" w:rsidRDefault="00F34ED0" w:rsidP="00AB52C0">
      <w:pPr>
        <w:spacing w:after="0" w:line="240" w:lineRule="auto"/>
        <w:jc w:val="both"/>
        <w:rPr>
          <w:rFonts w:ascii="gobCL" w:eastAsiaTheme="minorEastAsia" w:hAnsi="gobCL"/>
          <w:b/>
          <w:spacing w:val="6"/>
          <w:lang w:eastAsia="ja-JP"/>
        </w:rPr>
      </w:pPr>
    </w:p>
    <w:p w:rsidR="00A847F6"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 xml:space="preserve">Cuarto, generar un mercado laboral </w:t>
      </w:r>
      <w:r w:rsidR="00001AFB">
        <w:rPr>
          <w:rFonts w:ascii="gobCL" w:eastAsiaTheme="minorEastAsia" w:hAnsi="gobCL"/>
          <w:b/>
          <w:spacing w:val="6"/>
          <w:lang w:eastAsia="ja-JP"/>
        </w:rPr>
        <w:t xml:space="preserve">minero </w:t>
      </w:r>
      <w:r w:rsidRPr="00FF1DCA">
        <w:rPr>
          <w:rFonts w:ascii="gobCL" w:eastAsiaTheme="minorEastAsia" w:hAnsi="gobCL"/>
          <w:b/>
          <w:spacing w:val="6"/>
          <w:lang w:eastAsia="ja-JP"/>
        </w:rPr>
        <w:t>más ágil y robusto, en beneficio de los trabajadores y las empresas.</w:t>
      </w:r>
      <w:r w:rsidRPr="00FF1DCA">
        <w:rPr>
          <w:rFonts w:ascii="gobCL" w:eastAsiaTheme="minorEastAsia" w:hAnsi="gobCL"/>
          <w:spacing w:val="6"/>
          <w:lang w:eastAsia="ja-JP"/>
        </w:rPr>
        <w:t xml:space="preserve"> El sector se beneficiaría de establecer un </w:t>
      </w:r>
      <w:r w:rsidRPr="00D1309C">
        <w:rPr>
          <w:rFonts w:ascii="gobCL" w:eastAsiaTheme="minorEastAsia" w:hAnsi="gobCL"/>
          <w:i/>
          <w:spacing w:val="6"/>
          <w:lang w:eastAsia="ja-JP"/>
        </w:rPr>
        <w:t>pasaporte minero</w:t>
      </w:r>
      <w:r w:rsidRPr="00FF1DCA">
        <w:rPr>
          <w:rFonts w:ascii="gobCL" w:eastAsiaTheme="minorEastAsia" w:hAnsi="gobCL"/>
          <w:spacing w:val="6"/>
          <w:lang w:eastAsia="ja-JP"/>
        </w:rPr>
        <w:t xml:space="preserve"> que entregue movilidad a los trabajadores entre faenas y empresas, y cubra aspectos de seguridad, salud, y competencias laborales. Junto a la certificación en seguridad, la certificación de salud pre ocupacional y ocupacional debe aceptar como válido cualquier examen de salud vigente, con el fin de reducir la duplicidad de exámenes. Asímismo, sería provechoso que la Dirección del Trabajo facilitara la extensión de Jornadas Excepcionales </w:t>
      </w:r>
      <w:r w:rsidR="008547A7">
        <w:rPr>
          <w:rFonts w:ascii="gobCL" w:eastAsiaTheme="minorEastAsia" w:hAnsi="gobCL"/>
          <w:spacing w:val="6"/>
          <w:lang w:eastAsia="ja-JP"/>
        </w:rPr>
        <w:t>de</w:t>
      </w:r>
      <w:r w:rsidRPr="00FF1DCA">
        <w:rPr>
          <w:rFonts w:ascii="gobCL" w:eastAsiaTheme="minorEastAsia" w:hAnsi="gobCL"/>
          <w:spacing w:val="6"/>
          <w:lang w:eastAsia="ja-JP"/>
        </w:rPr>
        <w:t xml:space="preserve"> las empresas mandantes a los contratistas, y la incorporación de tecnologías de la información al proceso de autorización. </w:t>
      </w:r>
    </w:p>
    <w:p w:rsidR="00804F01" w:rsidRPr="00FF1DCA" w:rsidRDefault="00804F01" w:rsidP="00AB52C0">
      <w:pPr>
        <w:spacing w:after="0" w:line="240" w:lineRule="auto"/>
        <w:jc w:val="both"/>
        <w:rPr>
          <w:rFonts w:ascii="gobCL" w:eastAsiaTheme="minorEastAsia" w:hAnsi="gobCL"/>
          <w:b/>
          <w:spacing w:val="6"/>
          <w:lang w:eastAsia="ja-JP"/>
        </w:rPr>
      </w:pPr>
    </w:p>
    <w:p w:rsidR="006E751C"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lastRenderedPageBreak/>
        <w:t>Quint</w:t>
      </w:r>
      <w:r w:rsidR="00AB52C0" w:rsidRPr="00FF1DCA">
        <w:rPr>
          <w:rFonts w:ascii="gobCL" w:eastAsiaTheme="minorEastAsia" w:hAnsi="gobCL"/>
          <w:b/>
          <w:spacing w:val="6"/>
          <w:lang w:eastAsia="ja-JP"/>
        </w:rPr>
        <w:t xml:space="preserve">o, potenciar el recurso humano, el que </w:t>
      </w:r>
      <w:r w:rsidRPr="00FF1DCA">
        <w:rPr>
          <w:rFonts w:ascii="gobCL" w:eastAsiaTheme="minorEastAsia" w:hAnsi="gobCL"/>
          <w:b/>
          <w:spacing w:val="6"/>
          <w:lang w:eastAsia="ja-JP"/>
        </w:rPr>
        <w:t>puede ser mejor formado, aumentado y aprovechado.</w:t>
      </w:r>
      <w:r w:rsidRPr="00FF1DCA">
        <w:rPr>
          <w:rFonts w:ascii="gobCL" w:eastAsiaTheme="minorEastAsia" w:hAnsi="gobCL"/>
          <w:spacing w:val="6"/>
          <w:lang w:eastAsia="ja-JP"/>
        </w:rPr>
        <w:t xml:space="preserve"> El mercado laboral minero tiene falencias cualitativas y cuantitativas. El Consejo de Competencias Mineras del Consejo Minero definió un conjunto de competencias y habilidades requeridas para las funciones y oficios en el sector. Este marco debería ser institucionalizado en la definición de contenidos y competencias de las carreras del sector, tanto de formación</w:t>
      </w:r>
      <w:r w:rsidR="008859D3">
        <w:rPr>
          <w:rFonts w:ascii="gobCL" w:eastAsiaTheme="minorEastAsia" w:hAnsi="gobCL"/>
          <w:spacing w:val="6"/>
          <w:lang w:eastAsia="ja-JP"/>
        </w:rPr>
        <w:t xml:space="preserve"> </w:t>
      </w:r>
      <w:r w:rsidR="008547A7" w:rsidRPr="008547A7">
        <w:rPr>
          <w:rFonts w:ascii="gobCL" w:eastAsiaTheme="minorEastAsia" w:hAnsi="gobCL"/>
          <w:spacing w:val="6"/>
          <w:lang w:eastAsia="ja-JP"/>
        </w:rPr>
        <w:t>(EMTP, CFT e IP)</w:t>
      </w:r>
      <w:r w:rsidRPr="00FF1DCA">
        <w:rPr>
          <w:rFonts w:ascii="gobCL" w:eastAsiaTheme="minorEastAsia" w:hAnsi="gobCL"/>
          <w:spacing w:val="6"/>
          <w:lang w:eastAsia="ja-JP"/>
        </w:rPr>
        <w:t xml:space="preserve"> como de capacitación. </w:t>
      </w:r>
    </w:p>
    <w:p w:rsidR="006E751C" w:rsidRPr="00FF1DCA" w:rsidRDefault="006E751C" w:rsidP="00AB52C0">
      <w:pPr>
        <w:spacing w:after="0" w:line="240" w:lineRule="auto"/>
        <w:jc w:val="both"/>
        <w:rPr>
          <w:rFonts w:ascii="gobCL" w:eastAsiaTheme="minorEastAsia" w:hAnsi="gobCL"/>
          <w:spacing w:val="6"/>
          <w:lang w:eastAsia="ja-JP"/>
        </w:rPr>
      </w:pPr>
    </w:p>
    <w:p w:rsidR="00A847F6" w:rsidRPr="00FF1DCA" w:rsidRDefault="00A847F6" w:rsidP="00AB52C0">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 xml:space="preserve">Sexto, </w:t>
      </w:r>
      <w:r w:rsidR="005B4E92">
        <w:rPr>
          <w:rFonts w:ascii="gobCL" w:eastAsiaTheme="minorEastAsia" w:hAnsi="gobCL"/>
          <w:b/>
          <w:spacing w:val="6"/>
          <w:lang w:eastAsia="ja-JP"/>
        </w:rPr>
        <w:t>continuar mejorando</w:t>
      </w:r>
      <w:r w:rsidRPr="00FF1DCA">
        <w:rPr>
          <w:rFonts w:ascii="gobCL" w:eastAsiaTheme="minorEastAsia" w:hAnsi="gobCL"/>
          <w:b/>
          <w:spacing w:val="6"/>
          <w:lang w:eastAsia="ja-JP"/>
        </w:rPr>
        <w:t xml:space="preserve"> la seguridad del sector, con </w:t>
      </w:r>
      <w:r w:rsidR="005B4E92">
        <w:rPr>
          <w:rFonts w:ascii="gobCL" w:eastAsiaTheme="minorEastAsia" w:hAnsi="gobCL"/>
          <w:b/>
          <w:spacing w:val="6"/>
          <w:lang w:eastAsia="ja-JP"/>
        </w:rPr>
        <w:t>especial énfasis en la reducción de fatalidades</w:t>
      </w:r>
      <w:r w:rsidRPr="00FF1DCA">
        <w:rPr>
          <w:rFonts w:ascii="gobCL" w:eastAsiaTheme="minorEastAsia" w:hAnsi="gobCL"/>
          <w:b/>
          <w:spacing w:val="6"/>
          <w:lang w:eastAsia="ja-JP"/>
        </w:rPr>
        <w:t>.</w:t>
      </w:r>
      <w:r w:rsidRPr="00FF1DCA">
        <w:rPr>
          <w:rFonts w:ascii="gobCL" w:eastAsiaTheme="minorEastAsia" w:hAnsi="gobCL"/>
          <w:spacing w:val="6"/>
          <w:lang w:eastAsia="ja-JP"/>
        </w:rPr>
        <w:t xml:space="preserve"> El desafío de la industria es mejorar sus indicadores de seguridad al tiempo que eleva la producción y productividad, un desafío que a la luz de las mejores prácticas mundiales es alcanzable. Sernageomin debe facilitar la incorporación y salida del registro del Curso Homologado de Inducción Básica en Faenas Mineras, lo que masificaría el programa y permitiría extender la acreditación de requerimientos básicos de seguridad comunes a todas las faenas. </w:t>
      </w:r>
    </w:p>
    <w:p w:rsidR="00AB52C0" w:rsidRPr="00FF1DCA" w:rsidRDefault="00AB52C0" w:rsidP="00A847F6">
      <w:pPr>
        <w:spacing w:line="276" w:lineRule="auto"/>
        <w:jc w:val="both"/>
        <w:rPr>
          <w:rFonts w:ascii="Times New Roman" w:hAnsi="Times New Roman" w:cs="Times New Roman"/>
        </w:rPr>
      </w:pPr>
    </w:p>
    <w:p w:rsidR="00A847F6" w:rsidRPr="00FF1DCA" w:rsidRDefault="00A847F6" w:rsidP="006E751C">
      <w:pPr>
        <w:spacing w:line="276" w:lineRule="auto"/>
        <w:jc w:val="both"/>
        <w:rPr>
          <w:rFonts w:ascii="gobCL" w:eastAsiaTheme="minorEastAsia" w:hAnsi="gobCL"/>
          <w:b/>
          <w:i/>
          <w:spacing w:val="6"/>
          <w:lang w:eastAsia="ja-JP"/>
        </w:rPr>
      </w:pPr>
      <w:r w:rsidRPr="00FF1DCA">
        <w:rPr>
          <w:rFonts w:ascii="gobCL" w:eastAsiaTheme="minorEastAsia" w:hAnsi="gobCL"/>
          <w:b/>
          <w:i/>
          <w:spacing w:val="6"/>
          <w:lang w:eastAsia="ja-JP"/>
        </w:rPr>
        <w:t xml:space="preserve">Recomendaciones de acción conjunta al sector (un “bien club”) </w:t>
      </w:r>
    </w:p>
    <w:p w:rsidR="00956D17" w:rsidRDefault="00956D17" w:rsidP="006E751C">
      <w:pPr>
        <w:spacing w:after="0" w:line="240" w:lineRule="auto"/>
        <w:jc w:val="both"/>
        <w:rPr>
          <w:rFonts w:ascii="gobCL" w:eastAsiaTheme="minorEastAsia" w:hAnsi="gobCL"/>
          <w:spacing w:val="6"/>
          <w:lang w:eastAsia="ja-JP"/>
        </w:rPr>
      </w:pPr>
    </w:p>
    <w:p w:rsidR="006E751C"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spacing w:val="6"/>
          <w:lang w:eastAsia="ja-JP"/>
        </w:rPr>
        <w:t xml:space="preserve">Además de las áreas de intervención para las empresas y el Gobierno, el sector se potenciaría con </w:t>
      </w:r>
      <w:r w:rsidRPr="00FF1DCA">
        <w:rPr>
          <w:rFonts w:ascii="gobCL" w:eastAsiaTheme="minorEastAsia" w:hAnsi="gobCL"/>
          <w:b/>
          <w:spacing w:val="6"/>
          <w:lang w:eastAsia="ja-JP"/>
        </w:rPr>
        <w:t>un ecosistema que facilite la relación entre empresas, proveedores, contratistas, trabajadores, comunidades, universidades, centros de investigación</w:t>
      </w:r>
      <w:r w:rsidRPr="00FF1DCA">
        <w:rPr>
          <w:rFonts w:ascii="gobCL" w:eastAsiaTheme="minorEastAsia" w:hAnsi="gobCL"/>
          <w:spacing w:val="6"/>
          <w:lang w:eastAsia="ja-JP"/>
        </w:rPr>
        <w:t xml:space="preserve">, etc. </w:t>
      </w:r>
      <w:r w:rsidRPr="00FF1DCA">
        <w:rPr>
          <w:rFonts w:ascii="gobCL" w:eastAsiaTheme="minorEastAsia" w:hAnsi="gobCL"/>
          <w:b/>
          <w:spacing w:val="6"/>
          <w:lang w:eastAsia="ja-JP"/>
        </w:rPr>
        <w:t xml:space="preserve">Ésta es de responsabilidad principal del sector, pero donde el rol articulador del Estado es fundamental </w:t>
      </w:r>
      <w:r w:rsidRPr="00FF1DCA">
        <w:rPr>
          <w:rFonts w:ascii="gobCL" w:eastAsiaTheme="minorEastAsia" w:hAnsi="gobCL"/>
          <w:spacing w:val="6"/>
          <w:lang w:eastAsia="ja-JP"/>
        </w:rPr>
        <w:t xml:space="preserve">en catalizar eventos, mejorar la coordinación, y corregir asimetrías. </w:t>
      </w:r>
    </w:p>
    <w:p w:rsidR="006E751C" w:rsidRPr="00FF1DCA" w:rsidRDefault="006E751C" w:rsidP="006E751C">
      <w:pPr>
        <w:spacing w:after="0" w:line="240" w:lineRule="auto"/>
        <w:jc w:val="both"/>
        <w:rPr>
          <w:rFonts w:ascii="gobCL" w:eastAsiaTheme="minorEastAsia" w:hAnsi="gobCL"/>
          <w:spacing w:val="6"/>
          <w:lang w:eastAsia="ja-JP"/>
        </w:rPr>
      </w:pPr>
    </w:p>
    <w:p w:rsidR="00A847F6" w:rsidRPr="00FF1DCA" w:rsidRDefault="00557A93" w:rsidP="006E751C">
      <w:pPr>
        <w:spacing w:after="0" w:line="240" w:lineRule="auto"/>
        <w:jc w:val="both"/>
        <w:rPr>
          <w:rFonts w:ascii="gobCL" w:eastAsiaTheme="minorEastAsia" w:hAnsi="gobCL"/>
          <w:spacing w:val="6"/>
          <w:lang w:eastAsia="ja-JP"/>
        </w:rPr>
      </w:pPr>
      <w:r w:rsidRPr="00FF1DCA">
        <w:rPr>
          <w:rFonts w:ascii="gobCL" w:eastAsiaTheme="minorEastAsia" w:hAnsi="gobCL"/>
          <w:spacing w:val="6"/>
          <w:lang w:eastAsia="ja-JP"/>
        </w:rPr>
        <w:t>Cabe destacar que s</w:t>
      </w:r>
      <w:r w:rsidR="00A847F6" w:rsidRPr="00FF1DCA">
        <w:rPr>
          <w:rFonts w:ascii="gobCL" w:eastAsiaTheme="minorEastAsia" w:hAnsi="gobCL"/>
          <w:spacing w:val="6"/>
          <w:lang w:eastAsia="ja-JP"/>
        </w:rPr>
        <w:t xml:space="preserve">e identificaron recomendaciones para mejorar la colaboración en seis áreas de acción, que presentan características de un bien público sectorial o “bien club”. </w:t>
      </w:r>
      <w:r w:rsidRPr="00FF1DCA">
        <w:rPr>
          <w:rFonts w:ascii="gobCL" w:eastAsiaTheme="minorEastAsia" w:hAnsi="gobCL"/>
          <w:spacing w:val="6"/>
          <w:lang w:eastAsia="ja-JP"/>
        </w:rPr>
        <w:t xml:space="preserve">Se trata de </w:t>
      </w:r>
      <w:r w:rsidR="00A847F6" w:rsidRPr="00FF1DCA">
        <w:rPr>
          <w:rFonts w:ascii="gobCL" w:eastAsiaTheme="minorEastAsia" w:hAnsi="gobCL"/>
          <w:spacing w:val="6"/>
          <w:lang w:eastAsia="ja-JP"/>
        </w:rPr>
        <w:t>acciones que benefic</w:t>
      </w:r>
      <w:r w:rsidRPr="00FF1DCA">
        <w:rPr>
          <w:rFonts w:ascii="gobCL" w:eastAsiaTheme="minorEastAsia" w:hAnsi="gobCL"/>
          <w:spacing w:val="6"/>
          <w:lang w:eastAsia="ja-JP"/>
        </w:rPr>
        <w:t xml:space="preserve">ian al conjunto de la industria y que </w:t>
      </w:r>
      <w:r w:rsidR="00A847F6" w:rsidRPr="00FF1DCA">
        <w:rPr>
          <w:rFonts w:ascii="gobCL" w:eastAsiaTheme="minorEastAsia" w:hAnsi="gobCL"/>
          <w:spacing w:val="6"/>
          <w:lang w:eastAsia="ja-JP"/>
        </w:rPr>
        <w:t xml:space="preserve">ninguna empresa por separado puede proveerlos. </w:t>
      </w:r>
    </w:p>
    <w:p w:rsidR="00557A93" w:rsidRPr="00FF1DCA" w:rsidRDefault="00557A93" w:rsidP="006E751C">
      <w:pPr>
        <w:spacing w:after="0" w:line="240" w:lineRule="auto"/>
        <w:jc w:val="both"/>
        <w:rPr>
          <w:rFonts w:ascii="gobCL" w:eastAsiaTheme="minorEastAsia" w:hAnsi="gobCL"/>
          <w:spacing w:val="6"/>
          <w:lang w:eastAsia="ja-JP"/>
        </w:rPr>
      </w:pPr>
    </w:p>
    <w:p w:rsidR="00103632"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 xml:space="preserve">Primero, se identificaron acciones para potenciar la innovación. </w:t>
      </w:r>
      <w:r w:rsidRPr="00FF1DCA">
        <w:rPr>
          <w:rFonts w:ascii="gobCL" w:eastAsiaTheme="minorEastAsia" w:hAnsi="gobCL"/>
          <w:spacing w:val="6"/>
          <w:lang w:eastAsia="ja-JP"/>
        </w:rPr>
        <w:t>El sector se beneficiaría con espacios de prueba, pilotaje y capacitación compartidos</w:t>
      </w:r>
      <w:r w:rsidR="00956D17">
        <w:rPr>
          <w:rFonts w:ascii="gobCL" w:eastAsiaTheme="minorEastAsia" w:hAnsi="gobCL"/>
          <w:spacing w:val="6"/>
          <w:lang w:eastAsia="ja-JP"/>
        </w:rPr>
        <w:t xml:space="preserve"> para la introducción de nuevas tecnologías y equipos</w:t>
      </w:r>
      <w:r w:rsidRPr="00FF1DCA">
        <w:rPr>
          <w:rFonts w:ascii="gobCL" w:eastAsiaTheme="minorEastAsia" w:hAnsi="gobCL"/>
          <w:spacing w:val="6"/>
          <w:lang w:eastAsia="ja-JP"/>
        </w:rPr>
        <w:t>. Yacimientos abandonados o períodos con capacidad ociosa en la mediana minería podrían suplir esta necesidad. Se debe maximizar la interoperabilidad entre los sistemas de comunicaciones e información en todos los procesos de la minería</w:t>
      </w:r>
      <w:r w:rsidR="00F521F6" w:rsidRPr="00FF1DCA">
        <w:rPr>
          <w:rFonts w:ascii="gobCL" w:eastAsiaTheme="minorEastAsia" w:hAnsi="gobCL"/>
          <w:spacing w:val="6"/>
          <w:lang w:eastAsia="ja-JP"/>
        </w:rPr>
        <w:t>.</w:t>
      </w:r>
    </w:p>
    <w:p w:rsidR="00F521F6" w:rsidRPr="00FF1DCA" w:rsidRDefault="00F521F6" w:rsidP="006E751C">
      <w:pPr>
        <w:spacing w:after="0" w:line="240" w:lineRule="auto"/>
        <w:jc w:val="both"/>
        <w:rPr>
          <w:rFonts w:ascii="gobCL" w:eastAsiaTheme="minorEastAsia" w:hAnsi="gobCL"/>
          <w:b/>
          <w:spacing w:val="6"/>
          <w:lang w:eastAsia="ja-JP"/>
        </w:rPr>
      </w:pPr>
    </w:p>
    <w:p w:rsidR="00A847F6"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Segundo, explorar la posibilidad de compartir infraestructura privada y generar economías de escala.</w:t>
      </w:r>
      <w:r w:rsidRPr="00FF1DCA">
        <w:rPr>
          <w:rFonts w:ascii="gobCL" w:eastAsiaTheme="minorEastAsia" w:hAnsi="gobCL"/>
          <w:spacing w:val="6"/>
          <w:lang w:eastAsia="ja-JP"/>
        </w:rPr>
        <w:t xml:space="preserve"> Esto es especialmente claro en los nuevos proyectos de desalación de agua de mar, pero también en infraestructura de </w:t>
      </w:r>
      <w:r w:rsidR="00956D17">
        <w:rPr>
          <w:rFonts w:ascii="gobCL" w:eastAsiaTheme="minorEastAsia" w:hAnsi="gobCL"/>
          <w:spacing w:val="6"/>
          <w:lang w:eastAsia="ja-JP"/>
        </w:rPr>
        <w:t xml:space="preserve">energía, de </w:t>
      </w:r>
      <w:r w:rsidRPr="00FF1DCA">
        <w:rPr>
          <w:rFonts w:ascii="gobCL" w:eastAsiaTheme="minorEastAsia" w:hAnsi="gobCL"/>
          <w:spacing w:val="6"/>
          <w:lang w:eastAsia="ja-JP"/>
        </w:rPr>
        <w:t>transporte, y su integración intermodal. Incorporar a la mediana minería a estos procesos de aglomeración privada generará ganancias adicionales.</w:t>
      </w:r>
    </w:p>
    <w:p w:rsidR="00103632" w:rsidRPr="00FF1DCA" w:rsidRDefault="00103632" w:rsidP="006E751C">
      <w:pPr>
        <w:spacing w:after="0" w:line="240" w:lineRule="auto"/>
        <w:jc w:val="both"/>
        <w:rPr>
          <w:rFonts w:ascii="gobCL" w:eastAsiaTheme="minorEastAsia" w:hAnsi="gobCL"/>
          <w:b/>
          <w:spacing w:val="6"/>
          <w:lang w:eastAsia="ja-JP"/>
        </w:rPr>
      </w:pPr>
    </w:p>
    <w:p w:rsidR="00557A93"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lastRenderedPageBreak/>
        <w:t xml:space="preserve">Tercero, </w:t>
      </w:r>
      <w:r w:rsidR="005B4E92">
        <w:rPr>
          <w:rFonts w:ascii="gobCL" w:eastAsiaTheme="minorEastAsia" w:hAnsi="gobCL"/>
          <w:b/>
          <w:spacing w:val="6"/>
          <w:lang w:eastAsia="ja-JP"/>
        </w:rPr>
        <w:t>hacer más eficaz</w:t>
      </w:r>
      <w:r w:rsidRPr="00FF1DCA">
        <w:rPr>
          <w:rFonts w:ascii="gobCL" w:eastAsiaTheme="minorEastAsia" w:hAnsi="gobCL"/>
          <w:b/>
          <w:spacing w:val="6"/>
          <w:lang w:eastAsia="ja-JP"/>
        </w:rPr>
        <w:t xml:space="preserve"> la relación </w:t>
      </w:r>
      <w:r w:rsidR="005B4E92">
        <w:rPr>
          <w:rFonts w:ascii="gobCL" w:eastAsiaTheme="minorEastAsia" w:hAnsi="gobCL"/>
          <w:b/>
          <w:spacing w:val="6"/>
          <w:lang w:eastAsia="ja-JP"/>
        </w:rPr>
        <w:t xml:space="preserve">de trabajo </w:t>
      </w:r>
      <w:r w:rsidRPr="00FF1DCA">
        <w:rPr>
          <w:rFonts w:ascii="gobCL" w:eastAsiaTheme="minorEastAsia" w:hAnsi="gobCL"/>
          <w:b/>
          <w:spacing w:val="6"/>
          <w:lang w:eastAsia="ja-JP"/>
        </w:rPr>
        <w:t>entre empresas y sus contratistas.</w:t>
      </w:r>
      <w:r w:rsidRPr="00FF1DCA">
        <w:rPr>
          <w:rFonts w:ascii="gobCL" w:eastAsiaTheme="minorEastAsia" w:hAnsi="gobCL"/>
          <w:spacing w:val="6"/>
          <w:lang w:eastAsia="ja-JP"/>
        </w:rPr>
        <w:t xml:space="preserve"> El más importante déficit es la ausencia de requerimientos homologados para el ingreso a faenas. </w:t>
      </w:r>
      <w:r w:rsidR="008859D3">
        <w:rPr>
          <w:rFonts w:ascii="gobCL" w:eastAsiaTheme="minorEastAsia" w:hAnsi="gobCL"/>
          <w:spacing w:val="6"/>
          <w:lang w:eastAsia="ja-JP"/>
        </w:rPr>
        <w:t xml:space="preserve">Se han realizado avances en esta área pero sigue siendo un desafío, especialmente su masificación en la industria. </w:t>
      </w:r>
      <w:r w:rsidRPr="00FF1DCA">
        <w:rPr>
          <w:rFonts w:ascii="gobCL" w:eastAsiaTheme="minorEastAsia" w:hAnsi="gobCL"/>
          <w:spacing w:val="6"/>
          <w:lang w:eastAsia="ja-JP"/>
        </w:rPr>
        <w:t xml:space="preserve">El establecimiento de estándares comunes entre faenas, empresas y contratistas permitiría reducir los plazos y costos de capital y operativos, y aumentar la capacidad productiva de las faenas. </w:t>
      </w:r>
    </w:p>
    <w:p w:rsidR="00103632" w:rsidRPr="00FF1DCA" w:rsidRDefault="00103632" w:rsidP="006E751C">
      <w:pPr>
        <w:spacing w:after="0" w:line="240" w:lineRule="auto"/>
        <w:jc w:val="both"/>
        <w:rPr>
          <w:rFonts w:ascii="gobCL" w:eastAsiaTheme="minorEastAsia" w:hAnsi="gobCL"/>
          <w:b/>
          <w:spacing w:val="6"/>
          <w:lang w:eastAsia="ja-JP"/>
        </w:rPr>
      </w:pPr>
    </w:p>
    <w:p w:rsidR="00001AFB" w:rsidRPr="00E540C2" w:rsidRDefault="00A847F6" w:rsidP="00001AFB">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Cuarto, expandir intervenciones privadas a nivel sectorial que se benefician de apoyo público.</w:t>
      </w:r>
      <w:r w:rsidR="004A2AEB">
        <w:rPr>
          <w:rFonts w:ascii="gobCL" w:eastAsiaTheme="minorEastAsia" w:hAnsi="gobCL"/>
          <w:b/>
          <w:spacing w:val="6"/>
          <w:lang w:eastAsia="ja-JP"/>
        </w:rPr>
        <w:t xml:space="preserve"> </w:t>
      </w:r>
      <w:r w:rsidR="00001AFB">
        <w:rPr>
          <w:rFonts w:ascii="gobCL" w:eastAsiaTheme="minorEastAsia" w:hAnsi="gobCL"/>
          <w:spacing w:val="6"/>
          <w:lang w:eastAsia="ja-JP"/>
        </w:rPr>
        <w:t xml:space="preserve">Los esfuerzos del </w:t>
      </w:r>
      <w:r w:rsidR="00DD1A34">
        <w:rPr>
          <w:rFonts w:ascii="gobCL" w:eastAsiaTheme="minorEastAsia" w:hAnsi="gobCL"/>
          <w:spacing w:val="6"/>
          <w:lang w:eastAsia="ja-JP"/>
        </w:rPr>
        <w:t>Programa Nacional de</w:t>
      </w:r>
      <w:r w:rsidR="00956D17">
        <w:rPr>
          <w:rFonts w:ascii="gobCL" w:eastAsiaTheme="minorEastAsia" w:hAnsi="gobCL"/>
          <w:spacing w:val="6"/>
          <w:lang w:eastAsia="ja-JP"/>
        </w:rPr>
        <w:t xml:space="preserve"> M</w:t>
      </w:r>
      <w:r w:rsidR="00001AFB">
        <w:rPr>
          <w:rFonts w:ascii="gobCL" w:eastAsiaTheme="minorEastAsia" w:hAnsi="gobCL"/>
          <w:spacing w:val="6"/>
          <w:lang w:eastAsia="ja-JP"/>
        </w:rPr>
        <w:t>inería Alta Ley</w:t>
      </w:r>
      <w:r w:rsidR="008859D3">
        <w:rPr>
          <w:rFonts w:ascii="gobCL" w:eastAsiaTheme="minorEastAsia" w:hAnsi="gobCL"/>
          <w:spacing w:val="6"/>
          <w:lang w:eastAsia="ja-JP"/>
        </w:rPr>
        <w:t xml:space="preserve"> y Alianza Valor Minero</w:t>
      </w:r>
      <w:r w:rsidR="00DD1A34">
        <w:rPr>
          <w:rFonts w:ascii="gobCL" w:eastAsiaTheme="minorEastAsia" w:hAnsi="gobCL"/>
          <w:spacing w:val="6"/>
          <w:lang w:eastAsia="ja-JP"/>
        </w:rPr>
        <w:t>, como alianza público-privada,</w:t>
      </w:r>
      <w:r w:rsidR="00001AFB">
        <w:rPr>
          <w:rFonts w:ascii="gobCL" w:eastAsiaTheme="minorEastAsia" w:hAnsi="gobCL"/>
          <w:spacing w:val="6"/>
          <w:lang w:eastAsia="ja-JP"/>
        </w:rPr>
        <w:t xml:space="preserve"> debiesen ser continuados y sus resultados monitoreados. </w:t>
      </w:r>
    </w:p>
    <w:p w:rsidR="00001AFB" w:rsidRPr="00FF1DCA" w:rsidRDefault="00001AFB" w:rsidP="00001AFB">
      <w:pPr>
        <w:spacing w:after="0" w:line="240" w:lineRule="auto"/>
        <w:jc w:val="both"/>
        <w:rPr>
          <w:rFonts w:ascii="gobCL" w:eastAsiaTheme="minorEastAsia" w:hAnsi="gobCL"/>
          <w:b/>
          <w:spacing w:val="6"/>
          <w:lang w:eastAsia="ja-JP"/>
        </w:rPr>
      </w:pPr>
    </w:p>
    <w:p w:rsidR="00103632"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 xml:space="preserve">Quinto, desarrollar y potenciar a la mediana minería. </w:t>
      </w:r>
      <w:r w:rsidRPr="00FF1DCA">
        <w:rPr>
          <w:rFonts w:ascii="gobCL" w:eastAsiaTheme="minorEastAsia" w:hAnsi="gobCL"/>
          <w:spacing w:val="6"/>
          <w:lang w:eastAsia="ja-JP"/>
        </w:rPr>
        <w:t xml:space="preserve">El desarrollo y profundización de un mercado de capitales para la mediana minería, donde se esperan importantes avances a futuro debe ser una prioridad. </w:t>
      </w:r>
    </w:p>
    <w:p w:rsidR="00103632" w:rsidRPr="00FF1DCA" w:rsidRDefault="00103632" w:rsidP="006E751C">
      <w:pPr>
        <w:spacing w:after="0" w:line="240" w:lineRule="auto"/>
        <w:jc w:val="both"/>
        <w:rPr>
          <w:rFonts w:ascii="gobCL" w:eastAsiaTheme="minorEastAsia" w:hAnsi="gobCL"/>
          <w:spacing w:val="6"/>
          <w:lang w:eastAsia="ja-JP"/>
        </w:rPr>
      </w:pPr>
    </w:p>
    <w:p w:rsidR="00103632" w:rsidRPr="00FF1DCA" w:rsidRDefault="00A847F6" w:rsidP="006E751C">
      <w:pPr>
        <w:spacing w:after="0" w:line="240" w:lineRule="auto"/>
        <w:jc w:val="both"/>
        <w:rPr>
          <w:rFonts w:ascii="gobCL" w:eastAsiaTheme="minorEastAsia" w:hAnsi="gobCL"/>
          <w:spacing w:val="6"/>
          <w:lang w:eastAsia="ja-JP"/>
        </w:rPr>
      </w:pPr>
      <w:r w:rsidRPr="00FF1DCA">
        <w:rPr>
          <w:rFonts w:ascii="gobCL" w:eastAsiaTheme="minorEastAsia" w:hAnsi="gobCL"/>
          <w:b/>
          <w:spacing w:val="6"/>
          <w:lang w:eastAsia="ja-JP"/>
        </w:rPr>
        <w:t>Sexto, promover un mejor relacionamiento entre empresas mineras y comunidades, con un sistema de consulta continua desde etapas iniciales</w:t>
      </w:r>
      <w:r w:rsidRPr="00FF1DCA">
        <w:rPr>
          <w:rFonts w:ascii="gobCL" w:eastAsiaTheme="minorEastAsia" w:hAnsi="gobCL"/>
          <w:spacing w:val="6"/>
          <w:lang w:eastAsia="ja-JP"/>
        </w:rPr>
        <w:t>. Un conjunto de guías de participación para grandes proyectos producido por la autoridad (similares a las implementadas en el Ministerio de Energía) favorecería un modelo de diálogo permanente</w:t>
      </w:r>
      <w:r w:rsidR="00DD1A34">
        <w:rPr>
          <w:rFonts w:ascii="gobCL" w:eastAsiaTheme="minorEastAsia" w:hAnsi="gobCL"/>
          <w:spacing w:val="6"/>
          <w:lang w:eastAsia="ja-JP"/>
        </w:rPr>
        <w:t xml:space="preserve"> como el impulsado por Alianza Valor Minero</w:t>
      </w:r>
      <w:r w:rsidRPr="00FF1DCA">
        <w:rPr>
          <w:rFonts w:ascii="gobCL" w:eastAsiaTheme="minorEastAsia" w:hAnsi="gobCL"/>
          <w:spacing w:val="6"/>
          <w:lang w:eastAsia="ja-JP"/>
        </w:rPr>
        <w:t xml:space="preserve">. </w:t>
      </w:r>
    </w:p>
    <w:p w:rsidR="00103632" w:rsidRPr="00FF1DCA" w:rsidRDefault="00103632" w:rsidP="006E751C">
      <w:pPr>
        <w:spacing w:after="0" w:line="240" w:lineRule="auto"/>
        <w:jc w:val="both"/>
        <w:rPr>
          <w:rFonts w:ascii="gobCL" w:eastAsiaTheme="minorEastAsia" w:hAnsi="gobCL"/>
          <w:spacing w:val="6"/>
          <w:lang w:eastAsia="ja-JP"/>
        </w:rPr>
      </w:pPr>
    </w:p>
    <w:p w:rsidR="00B868D1" w:rsidRPr="00FF1DCA" w:rsidRDefault="003533F5" w:rsidP="006E751C">
      <w:pPr>
        <w:spacing w:after="0" w:line="240" w:lineRule="auto"/>
        <w:jc w:val="both"/>
        <w:rPr>
          <w:rFonts w:ascii="gobCL" w:eastAsiaTheme="minorEastAsia" w:hAnsi="gobCL"/>
          <w:b/>
          <w:i/>
          <w:spacing w:val="6"/>
          <w:lang w:eastAsia="ja-JP"/>
        </w:rPr>
      </w:pPr>
      <w:r w:rsidRPr="00FF1DCA">
        <w:rPr>
          <w:rFonts w:ascii="gobCL" w:eastAsiaTheme="minorEastAsia" w:hAnsi="gobCL"/>
          <w:b/>
          <w:i/>
          <w:spacing w:val="6"/>
          <w:lang w:eastAsia="ja-JP"/>
        </w:rPr>
        <w:t xml:space="preserve">Sugerencias </w:t>
      </w:r>
      <w:r w:rsidR="00100224">
        <w:rPr>
          <w:rFonts w:ascii="gobCL" w:eastAsiaTheme="minorEastAsia" w:hAnsi="gobCL"/>
          <w:b/>
          <w:i/>
          <w:spacing w:val="6"/>
          <w:lang w:eastAsia="ja-JP"/>
        </w:rPr>
        <w:t>de mej</w:t>
      </w:r>
      <w:r w:rsidR="00956D17">
        <w:rPr>
          <w:rFonts w:ascii="gobCL" w:eastAsiaTheme="minorEastAsia" w:hAnsi="gobCL"/>
          <w:b/>
          <w:i/>
          <w:spacing w:val="6"/>
          <w:lang w:eastAsia="ja-JP"/>
        </w:rPr>
        <w:t xml:space="preserve">ores prácticas </w:t>
      </w:r>
      <w:r w:rsidRPr="00FF1DCA">
        <w:rPr>
          <w:rFonts w:ascii="gobCL" w:eastAsiaTheme="minorEastAsia" w:hAnsi="gobCL"/>
          <w:b/>
          <w:i/>
          <w:spacing w:val="6"/>
          <w:lang w:eastAsia="ja-JP"/>
        </w:rPr>
        <w:t xml:space="preserve">gestionables por las </w:t>
      </w:r>
      <w:r w:rsidR="00956D17">
        <w:rPr>
          <w:rFonts w:ascii="gobCL" w:eastAsiaTheme="minorEastAsia" w:hAnsi="gobCL"/>
          <w:b/>
          <w:i/>
          <w:spacing w:val="6"/>
          <w:lang w:eastAsia="ja-JP"/>
        </w:rPr>
        <w:t xml:space="preserve">propias </w:t>
      </w:r>
      <w:r w:rsidRPr="00FF1DCA">
        <w:rPr>
          <w:rFonts w:ascii="gobCL" w:eastAsiaTheme="minorEastAsia" w:hAnsi="gobCL"/>
          <w:b/>
          <w:i/>
          <w:spacing w:val="6"/>
          <w:lang w:eastAsia="ja-JP"/>
        </w:rPr>
        <w:t>empresas</w:t>
      </w:r>
      <w:r w:rsidR="00956D17">
        <w:rPr>
          <w:rFonts w:ascii="gobCL" w:eastAsiaTheme="minorEastAsia" w:hAnsi="gobCL"/>
          <w:b/>
          <w:i/>
          <w:spacing w:val="6"/>
          <w:lang w:eastAsia="ja-JP"/>
        </w:rPr>
        <w:t xml:space="preserve"> mineras</w:t>
      </w:r>
    </w:p>
    <w:p w:rsidR="00FF1DCA" w:rsidRPr="00FF1DCA" w:rsidRDefault="00FF1DCA" w:rsidP="003D570F">
      <w:pPr>
        <w:spacing w:after="0" w:line="240" w:lineRule="auto"/>
        <w:jc w:val="both"/>
        <w:rPr>
          <w:rFonts w:ascii="gobCL" w:eastAsiaTheme="minorEastAsia" w:hAnsi="gobCL"/>
          <w:spacing w:val="6"/>
          <w:lang w:eastAsia="ja-JP"/>
        </w:rPr>
      </w:pPr>
    </w:p>
    <w:p w:rsidR="001E35E1" w:rsidRPr="00FF1DCA" w:rsidRDefault="00FD6EBE" w:rsidP="003D570F">
      <w:pPr>
        <w:spacing w:after="0" w:line="240" w:lineRule="auto"/>
        <w:jc w:val="both"/>
        <w:rPr>
          <w:rFonts w:ascii="gobCL" w:eastAsiaTheme="minorEastAsia" w:hAnsi="gobCL"/>
          <w:spacing w:val="6"/>
          <w:lang w:eastAsia="ja-JP"/>
        </w:rPr>
      </w:pPr>
      <w:r w:rsidRPr="00FF1DCA">
        <w:rPr>
          <w:rFonts w:ascii="gobCL" w:eastAsiaTheme="minorEastAsia" w:hAnsi="gobCL"/>
          <w:spacing w:val="6"/>
          <w:lang w:eastAsia="ja-JP"/>
        </w:rPr>
        <w:t xml:space="preserve">Aunque excede el mandato de la CNP, el estudio permitió identificar buenas prácticas </w:t>
      </w:r>
      <w:r w:rsidR="00956D17">
        <w:rPr>
          <w:rFonts w:ascii="gobCL" w:eastAsiaTheme="minorEastAsia" w:hAnsi="gobCL"/>
          <w:spacing w:val="6"/>
          <w:lang w:eastAsia="ja-JP"/>
        </w:rPr>
        <w:t xml:space="preserve">(internacionales) </w:t>
      </w:r>
      <w:r w:rsidRPr="00FF1DCA">
        <w:rPr>
          <w:rFonts w:ascii="gobCL" w:eastAsiaTheme="minorEastAsia" w:hAnsi="gobCL"/>
          <w:spacing w:val="6"/>
          <w:lang w:eastAsia="ja-JP"/>
        </w:rPr>
        <w:t>respecto de problemas gestionables por cada empresa o faena. Al respecto se identificaron 14 buenas prácticas que podrían ser implementadas</w:t>
      </w:r>
      <w:r w:rsidR="00F521F6" w:rsidRPr="00FF1DCA">
        <w:rPr>
          <w:rFonts w:ascii="gobCL" w:eastAsiaTheme="minorEastAsia" w:hAnsi="gobCL"/>
          <w:spacing w:val="6"/>
          <w:lang w:eastAsia="ja-JP"/>
        </w:rPr>
        <w:t xml:space="preserve">, entre las que se encuentran la </w:t>
      </w:r>
      <w:r w:rsidR="005B4E92">
        <w:rPr>
          <w:rFonts w:ascii="gobCL" w:eastAsiaTheme="minorEastAsia" w:hAnsi="gobCL"/>
          <w:spacing w:val="6"/>
          <w:lang w:eastAsia="ja-JP"/>
        </w:rPr>
        <w:t xml:space="preserve">de </w:t>
      </w:r>
      <w:r w:rsidR="00F521F6" w:rsidRPr="00FF1DCA">
        <w:rPr>
          <w:rFonts w:ascii="gobCL" w:eastAsiaTheme="minorEastAsia" w:hAnsi="gobCL"/>
          <w:spacing w:val="6"/>
          <w:lang w:eastAsia="ja-JP"/>
        </w:rPr>
        <w:t>r</w:t>
      </w:r>
      <w:r w:rsidR="00B24CE0" w:rsidRPr="00FF1DCA">
        <w:rPr>
          <w:rFonts w:ascii="gobCL" w:eastAsiaTheme="minorEastAsia" w:hAnsi="gobCL"/>
          <w:spacing w:val="6"/>
          <w:lang w:eastAsia="ja-JP"/>
        </w:rPr>
        <w:t xml:space="preserve">educir </w:t>
      </w:r>
      <w:r w:rsidR="005B4E92">
        <w:rPr>
          <w:rFonts w:ascii="gobCL" w:eastAsiaTheme="minorEastAsia" w:hAnsi="gobCL"/>
          <w:spacing w:val="6"/>
          <w:lang w:eastAsia="ja-JP"/>
        </w:rPr>
        <w:t xml:space="preserve">la elevada </w:t>
      </w:r>
      <w:r w:rsidR="00F521F6" w:rsidRPr="00FF1DCA">
        <w:rPr>
          <w:rFonts w:ascii="gobCL" w:eastAsiaTheme="minorEastAsia" w:hAnsi="gobCL"/>
          <w:spacing w:val="6"/>
          <w:lang w:eastAsia="ja-JP"/>
        </w:rPr>
        <w:t xml:space="preserve">rotación de altos ejecutivos; de </w:t>
      </w:r>
      <w:r w:rsidR="005B4E92">
        <w:rPr>
          <w:rFonts w:ascii="gobCL" w:eastAsiaTheme="minorEastAsia" w:hAnsi="gobCL"/>
          <w:spacing w:val="6"/>
          <w:lang w:eastAsia="ja-JP"/>
        </w:rPr>
        <w:t xml:space="preserve">reducir las </w:t>
      </w:r>
      <w:r w:rsidRPr="00FF1DCA">
        <w:rPr>
          <w:rFonts w:ascii="gobCL" w:eastAsiaTheme="minorEastAsia" w:hAnsi="gobCL"/>
          <w:spacing w:val="6"/>
          <w:lang w:eastAsia="ja-JP"/>
        </w:rPr>
        <w:t>capas</w:t>
      </w:r>
      <w:r w:rsidR="005B4E92">
        <w:rPr>
          <w:rFonts w:ascii="gobCL" w:eastAsiaTheme="minorEastAsia" w:hAnsi="gobCL"/>
          <w:spacing w:val="6"/>
          <w:lang w:eastAsia="ja-JP"/>
        </w:rPr>
        <w:t xml:space="preserve"> jerárquicas</w:t>
      </w:r>
      <w:r w:rsidR="00F521F6" w:rsidRPr="00FF1DCA">
        <w:rPr>
          <w:rFonts w:ascii="gobCL" w:eastAsiaTheme="minorEastAsia" w:hAnsi="gobCL"/>
          <w:spacing w:val="6"/>
          <w:lang w:eastAsia="ja-JP"/>
        </w:rPr>
        <w:t xml:space="preserve">; </w:t>
      </w:r>
      <w:r w:rsidR="005B4E92">
        <w:rPr>
          <w:rFonts w:ascii="gobCL" w:eastAsiaTheme="minorEastAsia" w:hAnsi="gobCL"/>
          <w:spacing w:val="6"/>
          <w:lang w:eastAsia="ja-JP"/>
        </w:rPr>
        <w:t xml:space="preserve">de </w:t>
      </w:r>
      <w:r w:rsidR="00F521F6" w:rsidRPr="00FF1DCA">
        <w:rPr>
          <w:rFonts w:ascii="gobCL" w:eastAsiaTheme="minorEastAsia" w:hAnsi="gobCL"/>
          <w:spacing w:val="6"/>
          <w:lang w:eastAsia="ja-JP"/>
        </w:rPr>
        <w:t>c</w:t>
      </w:r>
      <w:r w:rsidR="00B24CE0" w:rsidRPr="00FF1DCA">
        <w:rPr>
          <w:rFonts w:ascii="gobCL" w:eastAsiaTheme="minorEastAsia" w:hAnsi="gobCL"/>
          <w:spacing w:val="6"/>
          <w:lang w:eastAsia="ja-JP"/>
        </w:rPr>
        <w:t xml:space="preserve">ambiar </w:t>
      </w:r>
      <w:r w:rsidR="005B4E92">
        <w:rPr>
          <w:rFonts w:ascii="gobCL" w:eastAsiaTheme="minorEastAsia" w:hAnsi="gobCL"/>
          <w:spacing w:val="6"/>
          <w:lang w:eastAsia="ja-JP"/>
        </w:rPr>
        <w:t xml:space="preserve">una </w:t>
      </w:r>
      <w:r w:rsidR="00B24CE0" w:rsidRPr="00FF1DCA">
        <w:rPr>
          <w:rFonts w:ascii="gobCL" w:eastAsiaTheme="minorEastAsia" w:hAnsi="gobCL"/>
          <w:spacing w:val="6"/>
          <w:lang w:eastAsia="ja-JP"/>
        </w:rPr>
        <w:t xml:space="preserve"> cultura “controlista” de gestión</w:t>
      </w:r>
      <w:r w:rsidR="005B4E92">
        <w:rPr>
          <w:rFonts w:ascii="gobCL" w:eastAsiaTheme="minorEastAsia" w:hAnsi="gobCL"/>
          <w:spacing w:val="6"/>
          <w:lang w:eastAsia="ja-JP"/>
        </w:rPr>
        <w:t xml:space="preserve"> a una con</w:t>
      </w:r>
      <w:r w:rsidR="00F521F6" w:rsidRPr="00FF1DCA">
        <w:rPr>
          <w:rFonts w:ascii="gobCL" w:eastAsiaTheme="minorEastAsia" w:hAnsi="gobCL"/>
          <w:spacing w:val="6"/>
          <w:lang w:eastAsia="ja-JP"/>
        </w:rPr>
        <w:t>m</w:t>
      </w:r>
      <w:r w:rsidR="00B24CE0" w:rsidRPr="00FF1DCA">
        <w:rPr>
          <w:rFonts w:ascii="gobCL" w:eastAsiaTheme="minorEastAsia" w:hAnsi="gobCL"/>
          <w:spacing w:val="6"/>
          <w:lang w:eastAsia="ja-JP"/>
        </w:rPr>
        <w:t>ayor énfasis en empod</w:t>
      </w:r>
      <w:r w:rsidR="001E35E1" w:rsidRPr="00FF1DCA">
        <w:rPr>
          <w:rFonts w:ascii="gobCL" w:eastAsiaTheme="minorEastAsia" w:hAnsi="gobCL"/>
          <w:spacing w:val="6"/>
          <w:lang w:eastAsia="ja-JP"/>
        </w:rPr>
        <w:t>eramiento y accountability</w:t>
      </w:r>
      <w:r w:rsidR="005B4E92">
        <w:rPr>
          <w:rFonts w:ascii="gobCL" w:eastAsiaTheme="minorEastAsia" w:hAnsi="gobCL"/>
          <w:spacing w:val="6"/>
          <w:lang w:eastAsia="ja-JP"/>
        </w:rPr>
        <w:t>; de promover la movilidad y ascenso laboral</w:t>
      </w:r>
      <w:r w:rsidR="00956D17">
        <w:rPr>
          <w:rFonts w:ascii="gobCL" w:eastAsiaTheme="minorEastAsia" w:hAnsi="gobCL"/>
          <w:spacing w:val="6"/>
          <w:lang w:eastAsia="ja-JP"/>
        </w:rPr>
        <w:t>;</w:t>
      </w:r>
      <w:r w:rsidR="00764DC4">
        <w:rPr>
          <w:rFonts w:ascii="gobCL" w:eastAsiaTheme="minorEastAsia" w:hAnsi="gobCL"/>
          <w:spacing w:val="6"/>
          <w:lang w:eastAsia="ja-JP"/>
        </w:rPr>
        <w:t xml:space="preserve"> de</w:t>
      </w:r>
      <w:r w:rsidR="001E35E1" w:rsidRPr="00FF1DCA">
        <w:rPr>
          <w:rFonts w:ascii="gobCL" w:eastAsiaTheme="minorEastAsia" w:hAnsi="gobCL"/>
          <w:spacing w:val="6"/>
          <w:lang w:eastAsia="ja-JP"/>
        </w:rPr>
        <w:t xml:space="preserve"> m</w:t>
      </w:r>
      <w:r w:rsidR="00B24CE0" w:rsidRPr="00FF1DCA">
        <w:rPr>
          <w:rFonts w:ascii="gobCL" w:eastAsiaTheme="minorEastAsia" w:hAnsi="gobCL"/>
          <w:spacing w:val="6"/>
          <w:lang w:eastAsia="ja-JP"/>
        </w:rPr>
        <w:t>ejorar la adhesió</w:t>
      </w:r>
      <w:r w:rsidR="001E35E1" w:rsidRPr="00FF1DCA">
        <w:rPr>
          <w:rFonts w:ascii="gobCL" w:eastAsiaTheme="minorEastAsia" w:hAnsi="gobCL"/>
          <w:spacing w:val="6"/>
          <w:lang w:eastAsia="ja-JP"/>
        </w:rPr>
        <w:t xml:space="preserve">n y cumplimiento de planes; entre otras. </w:t>
      </w:r>
    </w:p>
    <w:p w:rsidR="00ED7EC4" w:rsidRDefault="00ED7EC4">
      <w:pPr>
        <w:rPr>
          <w:rFonts w:ascii="gobCL" w:eastAsiaTheme="minorEastAsia" w:hAnsi="gobCL"/>
          <w:spacing w:val="6"/>
          <w:lang w:eastAsia="ja-JP"/>
        </w:rPr>
      </w:pPr>
    </w:p>
    <w:p w:rsidR="00254E2E" w:rsidRPr="00254E2E" w:rsidRDefault="00254E2E">
      <w:pPr>
        <w:rPr>
          <w:b/>
          <w:i/>
        </w:rPr>
      </w:pPr>
    </w:p>
    <w:sectPr w:rsidR="00254E2E" w:rsidRPr="00254E2E" w:rsidSect="00833A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20000007" w:usb1="00000000"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0DA3517E"/>
    <w:multiLevelType w:val="hybridMultilevel"/>
    <w:tmpl w:val="14463AA2"/>
    <w:lvl w:ilvl="0" w:tplc="5F62B21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 w15:restartNumberingAfterBreak="0">
    <w:nsid w:val="408C7D07"/>
    <w:multiLevelType w:val="hybridMultilevel"/>
    <w:tmpl w:val="0812E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9C495E"/>
    <w:multiLevelType w:val="hybridMultilevel"/>
    <w:tmpl w:val="B43E3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01A3C1E"/>
    <w:multiLevelType w:val="hybridMultilevel"/>
    <w:tmpl w:val="FE500C00"/>
    <w:lvl w:ilvl="0" w:tplc="49D048C0">
      <w:start w:val="1"/>
      <w:numFmt w:val="bullet"/>
      <w:lvlText w:val="–"/>
      <w:lvlJc w:val="left"/>
      <w:pPr>
        <w:ind w:left="720" w:hanging="360"/>
      </w:pPr>
      <w:rPr>
        <w:rFonts w:ascii="Cambria" w:hAnsi="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180DF5"/>
    <w:multiLevelType w:val="hybridMultilevel"/>
    <w:tmpl w:val="3C560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23"/>
    <w:rsid w:val="00001AFB"/>
    <w:rsid w:val="00013ED0"/>
    <w:rsid w:val="00057E32"/>
    <w:rsid w:val="000A3CF4"/>
    <w:rsid w:val="000B7729"/>
    <w:rsid w:val="000C3D23"/>
    <w:rsid w:val="00100224"/>
    <w:rsid w:val="00103632"/>
    <w:rsid w:val="00115805"/>
    <w:rsid w:val="00127EF8"/>
    <w:rsid w:val="00141715"/>
    <w:rsid w:val="00175692"/>
    <w:rsid w:val="00184D68"/>
    <w:rsid w:val="001E35E1"/>
    <w:rsid w:val="00224A11"/>
    <w:rsid w:val="00254E2E"/>
    <w:rsid w:val="00255119"/>
    <w:rsid w:val="00292370"/>
    <w:rsid w:val="002D71D3"/>
    <w:rsid w:val="00333177"/>
    <w:rsid w:val="003533F5"/>
    <w:rsid w:val="00371CBE"/>
    <w:rsid w:val="003B4E19"/>
    <w:rsid w:val="003D570F"/>
    <w:rsid w:val="003F1EC7"/>
    <w:rsid w:val="004030FC"/>
    <w:rsid w:val="00424AB9"/>
    <w:rsid w:val="004321F1"/>
    <w:rsid w:val="004A227E"/>
    <w:rsid w:val="004A2AEB"/>
    <w:rsid w:val="00504E68"/>
    <w:rsid w:val="00557A93"/>
    <w:rsid w:val="00564F2C"/>
    <w:rsid w:val="005A2DB3"/>
    <w:rsid w:val="005A352B"/>
    <w:rsid w:val="005B4E92"/>
    <w:rsid w:val="00601382"/>
    <w:rsid w:val="00616DE4"/>
    <w:rsid w:val="006304A0"/>
    <w:rsid w:val="00657A34"/>
    <w:rsid w:val="00680684"/>
    <w:rsid w:val="00690481"/>
    <w:rsid w:val="006E751C"/>
    <w:rsid w:val="006F34C4"/>
    <w:rsid w:val="007044CB"/>
    <w:rsid w:val="00764DC4"/>
    <w:rsid w:val="007A22FD"/>
    <w:rsid w:val="007D220C"/>
    <w:rsid w:val="007D52FC"/>
    <w:rsid w:val="00804F01"/>
    <w:rsid w:val="008173B4"/>
    <w:rsid w:val="00824183"/>
    <w:rsid w:val="00833AB7"/>
    <w:rsid w:val="0084216A"/>
    <w:rsid w:val="00846142"/>
    <w:rsid w:val="00846834"/>
    <w:rsid w:val="008547A7"/>
    <w:rsid w:val="00873E88"/>
    <w:rsid w:val="008859D3"/>
    <w:rsid w:val="0088734A"/>
    <w:rsid w:val="008B414B"/>
    <w:rsid w:val="008D752E"/>
    <w:rsid w:val="00935ADA"/>
    <w:rsid w:val="00956D17"/>
    <w:rsid w:val="00980299"/>
    <w:rsid w:val="009C011F"/>
    <w:rsid w:val="009C0E29"/>
    <w:rsid w:val="009C3926"/>
    <w:rsid w:val="00A22E00"/>
    <w:rsid w:val="00A24463"/>
    <w:rsid w:val="00A7700C"/>
    <w:rsid w:val="00A847F6"/>
    <w:rsid w:val="00AA0D66"/>
    <w:rsid w:val="00AB52C0"/>
    <w:rsid w:val="00AE3853"/>
    <w:rsid w:val="00AF5D19"/>
    <w:rsid w:val="00B10DC2"/>
    <w:rsid w:val="00B17881"/>
    <w:rsid w:val="00B24CE0"/>
    <w:rsid w:val="00B868D1"/>
    <w:rsid w:val="00BB3C0D"/>
    <w:rsid w:val="00BE79F0"/>
    <w:rsid w:val="00C0257D"/>
    <w:rsid w:val="00C1074C"/>
    <w:rsid w:val="00C4745D"/>
    <w:rsid w:val="00C56070"/>
    <w:rsid w:val="00CB7968"/>
    <w:rsid w:val="00D1309C"/>
    <w:rsid w:val="00D64D45"/>
    <w:rsid w:val="00D929B2"/>
    <w:rsid w:val="00DD1A34"/>
    <w:rsid w:val="00DF5B85"/>
    <w:rsid w:val="00E01F8B"/>
    <w:rsid w:val="00E12E74"/>
    <w:rsid w:val="00E24DE3"/>
    <w:rsid w:val="00E40C90"/>
    <w:rsid w:val="00E6157F"/>
    <w:rsid w:val="00E92038"/>
    <w:rsid w:val="00E973D8"/>
    <w:rsid w:val="00EB66B7"/>
    <w:rsid w:val="00EC4777"/>
    <w:rsid w:val="00ED7EC4"/>
    <w:rsid w:val="00F07980"/>
    <w:rsid w:val="00F34ED0"/>
    <w:rsid w:val="00F451AC"/>
    <w:rsid w:val="00F521F6"/>
    <w:rsid w:val="00F6102A"/>
    <w:rsid w:val="00F71AF3"/>
    <w:rsid w:val="00F76BF6"/>
    <w:rsid w:val="00FD6EBE"/>
    <w:rsid w:val="00FE50D9"/>
    <w:rsid w:val="00FF1DCA"/>
    <w:rsid w:val="00FF5C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B43027-A57D-468B-9B30-3F1316E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xListBullet">
    <w:name w:val="Box List Bullet"/>
    <w:basedOn w:val="Textoindependiente"/>
    <w:rsid w:val="00BE79F0"/>
    <w:pPr>
      <w:keepNext/>
      <w:numPr>
        <w:numId w:val="1"/>
      </w:numPr>
      <w:tabs>
        <w:tab w:val="clear" w:pos="284"/>
        <w:tab w:val="num" w:pos="360"/>
      </w:tabs>
      <w:spacing w:before="60" w:after="0" w:line="280" w:lineRule="atLeast"/>
      <w:ind w:left="0" w:firstLine="0"/>
      <w:jc w:val="both"/>
    </w:pPr>
    <w:rPr>
      <w:rFonts w:ascii="Arial" w:eastAsia="Times New Roman" w:hAnsi="Arial" w:cs="Times New Roman"/>
      <w:szCs w:val="20"/>
      <w:lang w:val="en-AU" w:eastAsia="en-AU"/>
    </w:rPr>
  </w:style>
  <w:style w:type="paragraph" w:styleId="Textoindependiente">
    <w:name w:val="Body Text"/>
    <w:basedOn w:val="Normal"/>
    <w:link w:val="TextoindependienteCar"/>
    <w:uiPriority w:val="99"/>
    <w:semiHidden/>
    <w:unhideWhenUsed/>
    <w:rsid w:val="00BE79F0"/>
    <w:pPr>
      <w:spacing w:after="120"/>
    </w:pPr>
  </w:style>
  <w:style w:type="character" w:customStyle="1" w:styleId="TextoindependienteCar">
    <w:name w:val="Texto independiente Car"/>
    <w:basedOn w:val="Fuentedeprrafopredeter"/>
    <w:link w:val="Textoindependiente"/>
    <w:uiPriority w:val="99"/>
    <w:semiHidden/>
    <w:rsid w:val="00BE79F0"/>
  </w:style>
  <w:style w:type="paragraph" w:customStyle="1" w:styleId="BoxListBullet2">
    <w:name w:val="Box List Bullet 2"/>
    <w:basedOn w:val="Textoindependiente"/>
    <w:link w:val="BoxListBullet2Char"/>
    <w:rsid w:val="009C0E29"/>
    <w:pPr>
      <w:keepNext/>
      <w:numPr>
        <w:numId w:val="2"/>
      </w:numPr>
      <w:spacing w:before="60" w:after="0" w:line="280" w:lineRule="atLeast"/>
      <w:jc w:val="both"/>
    </w:pPr>
    <w:rPr>
      <w:rFonts w:ascii="Arial" w:eastAsia="Times New Roman" w:hAnsi="Arial" w:cs="Times New Roman"/>
      <w:szCs w:val="20"/>
      <w:lang w:val="en-AU" w:eastAsia="en-AU"/>
    </w:rPr>
  </w:style>
  <w:style w:type="character" w:customStyle="1" w:styleId="BoxListBullet2Char">
    <w:name w:val="Box List Bullet 2 Char"/>
    <w:basedOn w:val="Fuentedeprrafopredeter"/>
    <w:link w:val="BoxListBullet2"/>
    <w:locked/>
    <w:rsid w:val="009C0E29"/>
    <w:rPr>
      <w:rFonts w:ascii="Arial" w:eastAsia="Times New Roman" w:hAnsi="Arial" w:cs="Times New Roman"/>
      <w:szCs w:val="20"/>
      <w:lang w:val="en-AU" w:eastAsia="en-AU"/>
    </w:rPr>
  </w:style>
  <w:style w:type="paragraph" w:styleId="Prrafodelista">
    <w:name w:val="List Paragraph"/>
    <w:basedOn w:val="Normal"/>
    <w:link w:val="PrrafodelistaCar"/>
    <w:uiPriority w:val="34"/>
    <w:qFormat/>
    <w:rsid w:val="00A847F6"/>
    <w:pPr>
      <w:ind w:left="720"/>
      <w:contextualSpacing/>
    </w:pPr>
  </w:style>
  <w:style w:type="character" w:customStyle="1" w:styleId="PrrafodelistaCar">
    <w:name w:val="Párrafo de lista Car"/>
    <w:basedOn w:val="Fuentedeprrafopredeter"/>
    <w:link w:val="Prrafodelista"/>
    <w:uiPriority w:val="34"/>
    <w:rsid w:val="00A847F6"/>
  </w:style>
  <w:style w:type="paragraph" w:styleId="Textodeglobo">
    <w:name w:val="Balloon Text"/>
    <w:basedOn w:val="Normal"/>
    <w:link w:val="TextodegloboCar"/>
    <w:uiPriority w:val="99"/>
    <w:semiHidden/>
    <w:unhideWhenUsed/>
    <w:rsid w:val="00EB66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6B7"/>
    <w:rPr>
      <w:rFonts w:ascii="Tahoma" w:hAnsi="Tahoma" w:cs="Tahoma"/>
      <w:sz w:val="16"/>
      <w:szCs w:val="16"/>
    </w:rPr>
  </w:style>
  <w:style w:type="paragraph" w:styleId="NormalWeb">
    <w:name w:val="Normal (Web)"/>
    <w:basedOn w:val="Normal"/>
    <w:uiPriority w:val="99"/>
    <w:unhideWhenUsed/>
    <w:rsid w:val="008D752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D752E"/>
  </w:style>
  <w:style w:type="character" w:styleId="Textoennegrita">
    <w:name w:val="Strong"/>
    <w:basedOn w:val="Fuentedeprrafopredeter"/>
    <w:uiPriority w:val="22"/>
    <w:qFormat/>
    <w:rsid w:val="008D7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Barros Vilches</dc:creator>
  <cp:lastModifiedBy>Carla Barros Vilches</cp:lastModifiedBy>
  <cp:revision>3</cp:revision>
  <cp:lastPrinted>2017-06-21T20:58:00Z</cp:lastPrinted>
  <dcterms:created xsi:type="dcterms:W3CDTF">2018-11-29T15:26:00Z</dcterms:created>
  <dcterms:modified xsi:type="dcterms:W3CDTF">2018-11-29T15:27:00Z</dcterms:modified>
</cp:coreProperties>
</file>